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4" w14:textId="77777777" w:rsidR="001E39BD" w:rsidRDefault="001E39BD" w:rsidP="00B331CA">
      <w:pPr>
        <w:spacing w:line="480" w:lineRule="auto"/>
        <w:rPr>
          <w:rFonts w:ascii="Times New Roman" w:eastAsia="Times New Roman" w:hAnsi="Times New Roman" w:cs="Times New Roman"/>
          <w:sz w:val="24"/>
          <w:szCs w:val="24"/>
        </w:rPr>
      </w:pPr>
    </w:p>
    <w:p w14:paraId="00000005" w14:textId="1C967501" w:rsidR="001E39BD" w:rsidRDefault="001E39BD">
      <w:pPr>
        <w:spacing w:line="480" w:lineRule="auto"/>
        <w:rPr>
          <w:rFonts w:ascii="Times New Roman" w:eastAsia="Times New Roman" w:hAnsi="Times New Roman" w:cs="Times New Roman"/>
          <w:sz w:val="24"/>
          <w:szCs w:val="24"/>
        </w:rPr>
      </w:pPr>
    </w:p>
    <w:p w14:paraId="00000006" w14:textId="77777777" w:rsidR="001E39BD"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0000007" w14:textId="77777777" w:rsidR="001E39BD" w:rsidRDefault="00000000" w:rsidP="00ED6CD2">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000000C" w14:textId="3AE695AA" w:rsidR="001E39BD" w:rsidRPr="00B331CA" w:rsidRDefault="00000000" w:rsidP="00B331CA">
      <w:pPr>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The Role of Group Bias in Children’s Endorsement of Speculative Conjectures  </w:t>
      </w:r>
    </w:p>
    <w:p w14:paraId="1BB2E381" w14:textId="77777777" w:rsidR="00B331CA" w:rsidRPr="00674E3E" w:rsidRDefault="00B331CA" w:rsidP="00674E3E">
      <w:pPr>
        <w:spacing w:line="480" w:lineRule="auto"/>
        <w:jc w:val="center"/>
        <w:rPr>
          <w:rFonts w:ascii="Times New Roman" w:eastAsia="Times New Roman" w:hAnsi="Times New Roman" w:cs="Times New Roman"/>
          <w:b/>
          <w:bCs/>
          <w:sz w:val="24"/>
          <w:szCs w:val="24"/>
        </w:rPr>
      </w:pPr>
    </w:p>
    <w:p w14:paraId="0000000E" w14:textId="216D7244" w:rsidR="001E39BD" w:rsidRDefault="00000000" w:rsidP="004109E1">
      <w:pPr>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Emma Mizukami Reddy</w:t>
      </w:r>
    </w:p>
    <w:p w14:paraId="71B02186" w14:textId="29DEA80D" w:rsidR="00ED6CD2" w:rsidRPr="00ED6CD2" w:rsidRDefault="00E146B5" w:rsidP="004109E1">
      <w:pPr>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Department of Human Development and Quantitative Methodology, </w:t>
      </w:r>
      <w:r w:rsidR="00ED6CD2">
        <w:rPr>
          <w:rFonts w:ascii="Times New Roman" w:eastAsia="Times New Roman" w:hAnsi="Times New Roman" w:cs="Times New Roman"/>
          <w:sz w:val="24"/>
          <w:szCs w:val="24"/>
        </w:rPr>
        <w:t>University of Maryland</w:t>
      </w:r>
    </w:p>
    <w:p w14:paraId="00000010" w14:textId="71A41758" w:rsidR="001E39BD" w:rsidRDefault="00000000" w:rsidP="004109E1">
      <w:pPr>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Human Development Honors Program</w:t>
      </w:r>
      <w:r w:rsidR="00B331CA">
        <w:rPr>
          <w:rFonts w:ascii="Times New Roman" w:eastAsia="Times New Roman" w:hAnsi="Times New Roman" w:cs="Times New Roman"/>
          <w:sz w:val="24"/>
          <w:szCs w:val="24"/>
        </w:rPr>
        <w:t xml:space="preserve"> Thesis Proposal</w:t>
      </w:r>
    </w:p>
    <w:p w14:paraId="4630D0FC" w14:textId="3F206CE7" w:rsidR="00ED6CD2" w:rsidRDefault="00ED6CD2" w:rsidP="004109E1">
      <w:pPr>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Dr. Lucas Butler</w:t>
      </w:r>
    </w:p>
    <w:p w14:paraId="00000018" w14:textId="413B8ECE" w:rsidR="001E39BD" w:rsidRDefault="00B331CA" w:rsidP="004109E1">
      <w:pPr>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November 15, 2025</w:t>
      </w:r>
    </w:p>
    <w:p w14:paraId="00000019" w14:textId="77777777" w:rsidR="001E39BD"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000001A" w14:textId="77777777" w:rsidR="001E39BD"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000001B" w14:textId="77777777" w:rsidR="001E39BD" w:rsidRDefault="00000000">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000001C" w14:textId="77777777" w:rsidR="001E39BD" w:rsidRDefault="001E39BD">
      <w:pPr>
        <w:spacing w:line="480" w:lineRule="auto"/>
        <w:ind w:firstLine="720"/>
        <w:rPr>
          <w:rFonts w:ascii="Times New Roman" w:eastAsia="Times New Roman" w:hAnsi="Times New Roman" w:cs="Times New Roman"/>
          <w:sz w:val="24"/>
          <w:szCs w:val="24"/>
        </w:rPr>
      </w:pPr>
    </w:p>
    <w:p w14:paraId="0000001D" w14:textId="77777777" w:rsidR="001E39BD" w:rsidRDefault="001E39BD">
      <w:pPr>
        <w:spacing w:line="480" w:lineRule="auto"/>
        <w:ind w:firstLine="720"/>
        <w:rPr>
          <w:rFonts w:ascii="Times New Roman" w:eastAsia="Times New Roman" w:hAnsi="Times New Roman" w:cs="Times New Roman"/>
          <w:sz w:val="24"/>
          <w:szCs w:val="24"/>
        </w:rPr>
      </w:pPr>
    </w:p>
    <w:p w14:paraId="0000001E" w14:textId="77777777" w:rsidR="001E39BD" w:rsidRDefault="001E39BD">
      <w:pPr>
        <w:spacing w:line="480" w:lineRule="auto"/>
        <w:ind w:firstLine="720"/>
        <w:rPr>
          <w:rFonts w:ascii="Times New Roman" w:eastAsia="Times New Roman" w:hAnsi="Times New Roman" w:cs="Times New Roman"/>
          <w:sz w:val="24"/>
          <w:szCs w:val="24"/>
        </w:rPr>
      </w:pPr>
    </w:p>
    <w:p w14:paraId="4529CFAF" w14:textId="77777777" w:rsidR="00B331CA" w:rsidRDefault="00B331CA">
      <w:pPr>
        <w:spacing w:line="480" w:lineRule="auto"/>
        <w:ind w:firstLine="720"/>
        <w:rPr>
          <w:rFonts w:ascii="Times New Roman" w:eastAsia="Times New Roman" w:hAnsi="Times New Roman" w:cs="Times New Roman"/>
          <w:sz w:val="24"/>
          <w:szCs w:val="24"/>
        </w:rPr>
      </w:pPr>
    </w:p>
    <w:p w14:paraId="61D86167" w14:textId="77777777" w:rsidR="00B331CA" w:rsidRDefault="00B331CA">
      <w:pPr>
        <w:spacing w:line="480" w:lineRule="auto"/>
        <w:ind w:firstLine="720"/>
        <w:rPr>
          <w:rFonts w:ascii="Times New Roman" w:eastAsia="Times New Roman" w:hAnsi="Times New Roman" w:cs="Times New Roman"/>
          <w:sz w:val="24"/>
          <w:szCs w:val="24"/>
        </w:rPr>
      </w:pPr>
    </w:p>
    <w:p w14:paraId="5173B7A4" w14:textId="77777777" w:rsidR="00B331CA" w:rsidRDefault="00B331CA">
      <w:pPr>
        <w:spacing w:line="480" w:lineRule="auto"/>
        <w:ind w:firstLine="720"/>
        <w:rPr>
          <w:rFonts w:ascii="Times New Roman" w:eastAsia="Times New Roman" w:hAnsi="Times New Roman" w:cs="Times New Roman"/>
          <w:sz w:val="24"/>
          <w:szCs w:val="24"/>
        </w:rPr>
      </w:pPr>
    </w:p>
    <w:p w14:paraId="6F917149" w14:textId="77777777" w:rsidR="00B331CA" w:rsidRDefault="00B331CA">
      <w:pPr>
        <w:spacing w:line="480" w:lineRule="auto"/>
        <w:ind w:firstLine="720"/>
        <w:rPr>
          <w:rFonts w:ascii="Times New Roman" w:eastAsia="Times New Roman" w:hAnsi="Times New Roman" w:cs="Times New Roman"/>
          <w:sz w:val="24"/>
          <w:szCs w:val="24"/>
        </w:rPr>
      </w:pPr>
    </w:p>
    <w:p w14:paraId="0000001F" w14:textId="77777777" w:rsidR="001E39BD" w:rsidRDefault="001E39BD">
      <w:pPr>
        <w:spacing w:line="480" w:lineRule="auto"/>
        <w:ind w:firstLine="720"/>
        <w:rPr>
          <w:rFonts w:ascii="Times New Roman" w:eastAsia="Times New Roman" w:hAnsi="Times New Roman" w:cs="Times New Roman"/>
          <w:sz w:val="24"/>
          <w:szCs w:val="24"/>
        </w:rPr>
      </w:pPr>
    </w:p>
    <w:p w14:paraId="5A25DCC3" w14:textId="77777777" w:rsidR="00ED6CD2" w:rsidRDefault="00ED6CD2">
      <w:pPr>
        <w:spacing w:line="480" w:lineRule="auto"/>
        <w:ind w:firstLine="720"/>
        <w:rPr>
          <w:rFonts w:ascii="Times New Roman" w:eastAsia="Times New Roman" w:hAnsi="Times New Roman" w:cs="Times New Roman"/>
          <w:sz w:val="24"/>
          <w:szCs w:val="24"/>
        </w:rPr>
      </w:pPr>
    </w:p>
    <w:p w14:paraId="1B2F3D9F" w14:textId="77777777" w:rsidR="00ED6CD2" w:rsidRDefault="00ED6CD2">
      <w:pPr>
        <w:spacing w:line="480" w:lineRule="auto"/>
        <w:ind w:firstLine="720"/>
        <w:rPr>
          <w:rFonts w:ascii="Times New Roman" w:eastAsia="Times New Roman" w:hAnsi="Times New Roman" w:cs="Times New Roman"/>
          <w:sz w:val="24"/>
          <w:szCs w:val="24"/>
        </w:rPr>
      </w:pPr>
    </w:p>
    <w:p w14:paraId="00000020" w14:textId="77777777" w:rsidR="001E39BD" w:rsidRDefault="001E39BD">
      <w:pPr>
        <w:spacing w:line="480" w:lineRule="auto"/>
        <w:rPr>
          <w:rFonts w:ascii="Times New Roman" w:eastAsia="Times New Roman" w:hAnsi="Times New Roman" w:cs="Times New Roman"/>
          <w:sz w:val="24"/>
          <w:szCs w:val="24"/>
        </w:rPr>
      </w:pPr>
    </w:p>
    <w:p w14:paraId="00000021" w14:textId="77777777" w:rsidR="001E39BD" w:rsidRDefault="00000000">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1. Statement of Purpose and Introduction</w:t>
      </w:r>
    </w:p>
    <w:p w14:paraId="00000022" w14:textId="77777777" w:rsidR="001E39BD" w:rsidRDefault="00000000">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Children are active learners who construct knowledge by generating and evaluating explanations about the world around them. Consistent with this view, rational constructivist accounts propose that children integrate prior beliefs with new evidence to form and revise hypotheses (Xu, 2019). When they encounter events that lack clear explanations, they often imagine possible causes to fill the gaps in their understanding. These imaginative explanations, known as speculative conjectures, are unverified yet plausible ideas that go beyond available evidence to address unanswered questions. Chu and Schulz (2021) describe them as “proposals that may be advanced without evidence, by uncertain speakers, and even in tension with prior expectations, but that are still worth considering if they offer possible solutions to otherwise unresolved problems.” For example, a child who sees that a toy has disappeared and says that it “ran away” is forming a conjecture that, while unsupported by evidence, provides a coherent explanation.</w:t>
      </w:r>
    </w:p>
    <w:p w14:paraId="00000023" w14:textId="77777777" w:rsidR="001E39BD" w:rsidRDefault="00000000">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Chu and Schulz found that even young children can distinguish when such conjectures are appropriate. They prefer factual explanations when information is available to answer a question but endorse speculative conjectures when no factual answer is possible. This pattern suggests that children are not indiscriminately open to any possible speculations. They evaluate the fit of a conjecture to a question and its likelihood as a possible explanation. Their reasoning reflects a flexible understanding of when it is reasonable to entertain uncertain ideas.</w:t>
      </w:r>
    </w:p>
    <w:p w14:paraId="00000024" w14:textId="77777777" w:rsidR="001E39BD" w:rsidRDefault="00000000">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However, Chu and Schulz’s work did not examine how social factors influence children’s endorsement of speculative conjectures. Children rarely learn in isolation; their exploration and evaluation of information are shaped by social interactions (Butler, 2020). They acquire new information through these interactions and must decide whom to trust as reliable sources. Prior </w:t>
      </w:r>
      <w:r>
        <w:rPr>
          <w:rFonts w:ascii="Times New Roman" w:eastAsia="Times New Roman" w:hAnsi="Times New Roman" w:cs="Times New Roman"/>
          <w:sz w:val="24"/>
          <w:szCs w:val="24"/>
        </w:rPr>
        <w:lastRenderedPageBreak/>
        <w:t xml:space="preserve">research shows that children’s judgments of credibility are shaped by an informant’s group membership, accuracy, confidence, and other social characteristics (Elashi &amp; Mills, 2014; Koenig et al., 2014; Brosseau-Liard et al., 2014; Kinzler et al., 2011; </w:t>
      </w:r>
      <w:proofErr w:type="spellStart"/>
      <w:r>
        <w:rPr>
          <w:rFonts w:ascii="Times New Roman" w:eastAsia="Times New Roman" w:hAnsi="Times New Roman" w:cs="Times New Roman"/>
          <w:sz w:val="24"/>
          <w:szCs w:val="24"/>
        </w:rPr>
        <w:t>Bascandziev</w:t>
      </w:r>
      <w:proofErr w:type="spellEnd"/>
      <w:r>
        <w:rPr>
          <w:rFonts w:ascii="Times New Roman" w:eastAsia="Times New Roman" w:hAnsi="Times New Roman" w:cs="Times New Roman"/>
          <w:sz w:val="24"/>
          <w:szCs w:val="24"/>
        </w:rPr>
        <w:t xml:space="preserve"> &amp; Harris, 2014). This process, known as </w:t>
      </w:r>
      <w:r>
        <w:rPr>
          <w:rFonts w:ascii="Times New Roman" w:eastAsia="Times New Roman" w:hAnsi="Times New Roman" w:cs="Times New Roman"/>
          <w:i/>
          <w:iCs/>
          <w:sz w:val="24"/>
          <w:szCs w:val="24"/>
        </w:rPr>
        <w:t>selective trust</w:t>
      </w:r>
      <w:r>
        <w:rPr>
          <w:rFonts w:ascii="Times New Roman" w:eastAsia="Times New Roman" w:hAnsi="Times New Roman" w:cs="Times New Roman"/>
          <w:sz w:val="24"/>
          <w:szCs w:val="24"/>
        </w:rPr>
        <w:t>, reflects how children weigh both epistemic and social cues when deciding whom to believe (Koenig et al., 2014).</w:t>
      </w:r>
    </w:p>
    <w:p w14:paraId="00000025" w14:textId="77777777" w:rsidR="001E39BD" w:rsidRDefault="00000000">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The proposed study will build on Chu and Schulz’s findings by introducing a social dimension: the role of group membership and potential in-group bias in children’s endorsement of speculative conjectures. Specifically, the study will examine whether children are more likely to accept conjectures from an in-group member compared to an out-group member, and whether the perceived likelihood and explanatory fit of a given conjecture influence this preference. For example, do children favor a conjecture that makes sense and fits the question even when it comes from an out-group member, or do they fall back on a tendency to trust members of their in-group?</w:t>
      </w:r>
    </w:p>
    <w:p w14:paraId="00000026" w14:textId="77777777" w:rsidR="001E39BD" w:rsidRDefault="00000000">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This question is important because it connects two central features of early cognition: how children evaluate uncertain explanations and how they navigate social trust. Understanding how these processes interact can reveal whether children’s openness to new ideas is shaped more by reasoning about evidence or by social affiliation. </w:t>
      </w:r>
    </w:p>
    <w:p w14:paraId="00000027" w14:textId="77777777" w:rsidR="001E39BD" w:rsidRDefault="001E39BD">
      <w:pPr>
        <w:spacing w:line="480" w:lineRule="auto"/>
        <w:ind w:firstLine="720"/>
        <w:rPr>
          <w:rFonts w:ascii="Times New Roman" w:eastAsia="Times New Roman" w:hAnsi="Times New Roman" w:cs="Times New Roman"/>
          <w:sz w:val="24"/>
          <w:szCs w:val="24"/>
        </w:rPr>
      </w:pPr>
    </w:p>
    <w:p w14:paraId="00000028" w14:textId="77777777" w:rsidR="001E39BD" w:rsidRDefault="00000000">
      <w:pPr>
        <w:pStyle w:val="Heading2"/>
        <w:spacing w:before="0" w:after="0" w:line="480" w:lineRule="auto"/>
        <w:rPr>
          <w:rFonts w:ascii="Times New Roman" w:eastAsia="Times New Roman" w:hAnsi="Times New Roman" w:cs="Times New Roman"/>
          <w:sz w:val="24"/>
          <w:szCs w:val="24"/>
        </w:rPr>
      </w:pPr>
      <w:bookmarkStart w:id="0" w:name="_wytsbebdw82k" w:colFirst="0" w:colLast="0"/>
      <w:bookmarkEnd w:id="0"/>
      <w:r>
        <w:rPr>
          <w:rFonts w:ascii="Times New Roman" w:eastAsia="Times New Roman" w:hAnsi="Times New Roman" w:cs="Times New Roman"/>
          <w:sz w:val="24"/>
          <w:szCs w:val="24"/>
        </w:rPr>
        <w:t>2. Theoretical Background, General Aims, and Hypotheses</w:t>
      </w:r>
    </w:p>
    <w:p w14:paraId="00000029" w14:textId="77777777" w:rsidR="001E39BD" w:rsidRDefault="00000000">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Children develop epistemic vigilance early in life, showing sensitivity to the reliability of information sources (Clément, 2010). Even preschoolers track who has provided true or false information in the past and use this record to guide their learning. Koenig et al. (2004) found that three- and four-year-old children can distinguish between accurate and inaccurate </w:t>
      </w:r>
      <w:proofErr w:type="gramStart"/>
      <w:r>
        <w:rPr>
          <w:rFonts w:ascii="Times New Roman" w:eastAsia="Times New Roman" w:hAnsi="Times New Roman" w:cs="Times New Roman"/>
          <w:sz w:val="24"/>
          <w:szCs w:val="24"/>
        </w:rPr>
        <w:t xml:space="preserve">informants, </w:t>
      </w:r>
      <w:r>
        <w:rPr>
          <w:rFonts w:ascii="Times New Roman" w:eastAsia="Times New Roman" w:hAnsi="Times New Roman" w:cs="Times New Roman"/>
          <w:sz w:val="24"/>
          <w:szCs w:val="24"/>
        </w:rPr>
        <w:lastRenderedPageBreak/>
        <w:t>and</w:t>
      </w:r>
      <w:proofErr w:type="gramEnd"/>
      <w:r>
        <w:rPr>
          <w:rFonts w:ascii="Times New Roman" w:eastAsia="Times New Roman" w:hAnsi="Times New Roman" w:cs="Times New Roman"/>
          <w:sz w:val="24"/>
          <w:szCs w:val="24"/>
        </w:rPr>
        <w:t xml:space="preserve"> later prefer to learn new labels from those who have been correct. This demonstrates that young children monitor and remember others’ reliability, revealing that they are not passive recipients of information but active evaluators of credibility.</w:t>
      </w:r>
    </w:p>
    <w:p w14:paraId="0000002A" w14:textId="77777777" w:rsidR="001E39BD" w:rsidRDefault="00000000">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Children rely on more than simple accuracy when deciding whom to trust. Brosseau-Liard and Birch (2010) showed that five-year-olds use an individual’s prior accuracy to infer broader traits such as knowledge and kindness. Brosseau-Liard et al. (2014) further found that younger preschoolers tend to trust confident speakers, while older children begin to favor those who have been accurate even when less confident. Other research suggests that children evaluate the quality of information as well as its truth. Einav and Robinson (2011) reported that by age four, children prefer informants who answer independently rather than those who rely on help. Corriveau and Kurkul (2014) found that five-year-olds favor informants who offer noncircular explanations, and Gweon et al. (2014) showed that children notice when informants omit important information and adjust their exploration accordingly. Butler and colleagues add further evidence that children attend to the evidential status of a speaker’s claims. Butler et al. (2018) found that children differentiate between verified and unverified statements, showing greater trust in informants who explicitly check or confirm their claims before asserting them. Butler (2020) similarly argues that children’s developing “scientific habits of mind” include sensitivity to whether claims are grounded in appropriate evidence, highlighting that children do not rely solely on surface cues but also on the processes by which information is generated. In line with this, </w:t>
      </w:r>
      <w:proofErr w:type="gramStart"/>
      <w:r>
        <w:rPr>
          <w:rFonts w:ascii="Times New Roman" w:eastAsia="Times New Roman" w:hAnsi="Times New Roman" w:cs="Times New Roman"/>
          <w:sz w:val="24"/>
          <w:szCs w:val="24"/>
        </w:rPr>
        <w:t>Huh</w:t>
      </w:r>
      <w:proofErr w:type="gramEnd"/>
      <w:r>
        <w:rPr>
          <w:rFonts w:ascii="Times New Roman" w:eastAsia="Times New Roman" w:hAnsi="Times New Roman" w:cs="Times New Roman"/>
          <w:sz w:val="24"/>
          <w:szCs w:val="24"/>
        </w:rPr>
        <w:t xml:space="preserve"> et al. (2019) demonstrated that even four-year-olds distinguish between well-informed and partially informed speakers, showing reduced trust in those who express unjustified confidence. Together, these findings suggest that children’s selective trust reflects a nuanced understanding of both epistemic accuracy and informativeness.</w:t>
      </w:r>
    </w:p>
    <w:p w14:paraId="0000002B" w14:textId="77777777" w:rsidR="001E39BD" w:rsidRDefault="00000000">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Beyond these epistemic cues, social factors also shape children’s judgments of credibility. Elashi and Mills (2014) found that children aged three to seven prefer in-group members as sources of new information and remain loyal to them even when they are inaccurate. Only older children begin to adjust their trust when an in-group member proves unreliable. Cultural background further influences this process. Chan and Tardif (2013) observed that American children were more willing than Hong Kong peers to accept conflicting labels from teachers, indicating that norms about authority and deference affect trust in testimony. Corriveau &amp; Harris (2010) found that when confronted with conflicting social and perceptual information, preschoolers sometimes defer to the majority, but this tendency varies culturally: Asian American children are more likely to conform to group consensus compared with Caucasian American peers. Group-related cues such as accent and consensus also matter. Kinzler et al. (2011) reported that children favor native-accented speakers even when speech content is meaningless, while Chen et al. (2013) found that children initially trust a consensus of out-group members but withdraw that trust when social support weakens. These findings show that children use social identity as a shortcut for credibility, often prioritizing familiarity and shared background over objectivity.</w:t>
      </w:r>
    </w:p>
    <w:p w14:paraId="0000002C" w14:textId="77777777" w:rsidR="001E39BD" w:rsidRDefault="00000000">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While this body of work clarifies how children evaluate </w:t>
      </w:r>
      <w:proofErr w:type="gramStart"/>
      <w:r>
        <w:rPr>
          <w:rFonts w:ascii="Times New Roman" w:eastAsia="Times New Roman" w:hAnsi="Times New Roman" w:cs="Times New Roman"/>
          <w:sz w:val="24"/>
          <w:szCs w:val="24"/>
        </w:rPr>
        <w:t>factual information</w:t>
      </w:r>
      <w:proofErr w:type="gramEnd"/>
      <w:r>
        <w:rPr>
          <w:rFonts w:ascii="Times New Roman" w:eastAsia="Times New Roman" w:hAnsi="Times New Roman" w:cs="Times New Roman"/>
          <w:sz w:val="24"/>
          <w:szCs w:val="24"/>
        </w:rPr>
        <w:t xml:space="preserve">, less is known about how they judge uncertain explanations. Chu and Schulz (2021) explored this question by examining children’s reasoning about speculative conjectures, explanations that lack direct evidence but offer possible solutions to unresolved problems. Their results show that children balance the likelihood of a conjecture with its fit to the question, endorsing plausible conjectures when </w:t>
      </w:r>
      <w:proofErr w:type="gramStart"/>
      <w:r>
        <w:rPr>
          <w:rFonts w:ascii="Times New Roman" w:eastAsia="Times New Roman" w:hAnsi="Times New Roman" w:cs="Times New Roman"/>
          <w:sz w:val="24"/>
          <w:szCs w:val="24"/>
        </w:rPr>
        <w:t>factual information</w:t>
      </w:r>
      <w:proofErr w:type="gramEnd"/>
      <w:r>
        <w:rPr>
          <w:rFonts w:ascii="Times New Roman" w:eastAsia="Times New Roman" w:hAnsi="Times New Roman" w:cs="Times New Roman"/>
          <w:sz w:val="24"/>
          <w:szCs w:val="24"/>
        </w:rPr>
        <w:t xml:space="preserve"> is insufficient. </w:t>
      </w:r>
    </w:p>
    <w:p w14:paraId="0000002D" w14:textId="77777777" w:rsidR="001E39BD" w:rsidRDefault="00000000">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The present study builds on this work by examining whether social factors, specifically group membership, influence how children evaluate speculative conjectures that vary in likelihood and explanatory fit. If group membership influences children’s reasoning, we might expect them to endorse even low-likelihood and low-fit conjectures when they come from an in-group member. Alternatively, if children evaluate conjectures based primarily on their likelihood and explanatory fit, they may favor well-fitting and high-likelihood conjectures regardless of the speaker’s group affiliation.</w:t>
      </w:r>
    </w:p>
    <w:p w14:paraId="0000002E" w14:textId="77777777" w:rsidR="001E39BD" w:rsidRDefault="00000000">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The general aim of the proposed research is to investigate how cognitive and social factors interact in children’s endorsement of speculative conjectures. The study will adapt Chu and Schulz’s paradigm by introducing both in-group and out-group informants who provide conjectural explanations of varying levels of fit and plausibility. The design will allow examination of whether children’s endorsement patterns are guided more by epistemic evaluation or by social identity.</w:t>
      </w:r>
    </w:p>
    <w:p w14:paraId="0000002F" w14:textId="77777777" w:rsidR="001E39BD" w:rsidRDefault="00000000">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It is expected that when the </w:t>
      </w:r>
      <w:proofErr w:type="gramStart"/>
      <w:r>
        <w:rPr>
          <w:rFonts w:ascii="Times New Roman" w:eastAsia="Times New Roman" w:hAnsi="Times New Roman" w:cs="Times New Roman"/>
          <w:sz w:val="24"/>
          <w:szCs w:val="24"/>
        </w:rPr>
        <w:t>factual information</w:t>
      </w:r>
      <w:proofErr w:type="gramEnd"/>
      <w:r>
        <w:rPr>
          <w:rFonts w:ascii="Times New Roman" w:eastAsia="Times New Roman" w:hAnsi="Times New Roman" w:cs="Times New Roman"/>
          <w:sz w:val="24"/>
          <w:szCs w:val="24"/>
        </w:rPr>
        <w:t xml:space="preserve"> leaves an explanatory gap, children will endorse conjectures that are both plausible and well-fitted to the question. The study also predicts that children will show a bias toward in-group speakers when evaluating speculative conjectures, particularly when the conjecture’s likelihood is ambiguous. However, as children grow older and gain experience in reasoning about evidence, they may rely less on group membership and more on epistemic features such as likelihood and fit.</w:t>
      </w:r>
    </w:p>
    <w:p w14:paraId="00000030" w14:textId="77777777" w:rsidR="001E39BD" w:rsidRDefault="00000000">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This research will advance understanding of how children combine social and cognitive reasoning in the face of uncertainty. By exploring how group membership and the explanatory quality of conjectures jointly shape endorsement, the study will clarify whether children’s openness to new ideas is socially constrained or guided by a developing sense of explanatory </w:t>
      </w:r>
      <w:r>
        <w:rPr>
          <w:rFonts w:ascii="Times New Roman" w:eastAsia="Times New Roman" w:hAnsi="Times New Roman" w:cs="Times New Roman"/>
          <w:sz w:val="24"/>
          <w:szCs w:val="24"/>
        </w:rPr>
        <w:lastRenderedPageBreak/>
        <w:t>logic. The findings may also inform educational approaches that promote equitable evaluation of ideas, encouraging children to consider both the evidence and the quality of explanations, regardless of who presents them.</w:t>
      </w:r>
    </w:p>
    <w:p w14:paraId="00000031" w14:textId="77777777" w:rsidR="001E39BD" w:rsidRDefault="001E39BD">
      <w:pPr>
        <w:spacing w:line="480" w:lineRule="auto"/>
        <w:ind w:firstLine="720"/>
        <w:rPr>
          <w:rFonts w:ascii="Times New Roman" w:eastAsia="Times New Roman" w:hAnsi="Times New Roman" w:cs="Times New Roman"/>
          <w:sz w:val="24"/>
          <w:szCs w:val="24"/>
        </w:rPr>
      </w:pPr>
    </w:p>
    <w:p w14:paraId="00000032" w14:textId="77777777" w:rsidR="001E39BD" w:rsidRDefault="00000000">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 Methods: Participants, Procedure and Design, Measures, and Data Plan</w:t>
      </w:r>
    </w:p>
    <w:p w14:paraId="3CF427B9" w14:textId="0876C13D" w:rsidR="00056CD0" w:rsidRDefault="00000000" w:rsidP="00056CD0">
      <w:pPr>
        <w:pStyle w:val="NormalWeb"/>
        <w:spacing w:before="0" w:beforeAutospacing="0" w:after="0" w:afterAutospacing="0" w:line="480" w:lineRule="auto"/>
      </w:pPr>
      <w:r>
        <w:tab/>
      </w:r>
      <w:r w:rsidR="00056CD0">
        <w:t xml:space="preserve">The proposed study will be part of a larger project involving approximately 100 children between 5 and 7 years old, with an estimated subset of </w:t>
      </w:r>
      <w:r w:rsidR="00056CD0">
        <w:t xml:space="preserve">around </w:t>
      </w:r>
      <w:r w:rsidR="00056CD0">
        <w:t xml:space="preserve">50 </w:t>
      </w:r>
      <w:r w:rsidR="00056CD0">
        <w:t>children</w:t>
      </w:r>
      <w:r w:rsidR="00056CD0">
        <w:t xml:space="preserve"> </w:t>
      </w:r>
      <w:r w:rsidR="00056CD0">
        <w:t xml:space="preserve">anticipated for the thesis study. </w:t>
      </w:r>
      <w:r w:rsidR="00056CD0">
        <w:t>This age range was selected because prior research (Chu &amp; Schulz, 2021; Elashi &amp; Mills, 2014) shows that children in early to middle childhood can evaluate both the content of explanations and the social characteristics of informants. Participants will be recruited through a university-affiliated database that enables families across the United States to participate remotely</w:t>
      </w:r>
      <w:r w:rsidR="00056CD0">
        <w:t>.</w:t>
      </w:r>
    </w:p>
    <w:p w14:paraId="2498012B" w14:textId="77777777" w:rsidR="00056CD0" w:rsidRDefault="00056CD0" w:rsidP="00056CD0">
      <w:pPr>
        <w:pStyle w:val="NormalWeb"/>
        <w:spacing w:before="0" w:beforeAutospacing="0" w:after="0" w:afterAutospacing="0" w:line="480" w:lineRule="auto"/>
        <w:ind w:firstLine="720"/>
      </w:pPr>
      <w:r>
        <w:t>All sessions will be conducted individually online to ensure accessibility for children from diverse geographic regions. The anticipated sample will include roughly equal numbers of boys and girls and will aim for racial, ethnic, and socioeconomic diversity reflective of the broader population. Parental consent and child assent will be obtained prior to participation.</w:t>
      </w:r>
    </w:p>
    <w:p w14:paraId="0D825676" w14:textId="77777777" w:rsidR="00056CD0" w:rsidRDefault="00056CD0" w:rsidP="00056CD0">
      <w:pPr>
        <w:pStyle w:val="NormalWeb"/>
        <w:spacing w:before="0" w:beforeAutospacing="0" w:after="0" w:afterAutospacing="0" w:line="480" w:lineRule="auto"/>
        <w:ind w:firstLine="720"/>
      </w:pPr>
      <w:r>
        <w:t xml:space="preserve">Each session will last approximately 25–30 minutes, during which children will receive a $5 electronic gift card as a </w:t>
      </w:r>
      <w:r>
        <w:t>thank-you for their time</w:t>
      </w:r>
      <w:r>
        <w:t>. Sessions will be recorded to ensure accuracy and reliability in data coding. The procedure will follow the paradigm developed by Chu and Schulz (2021), with an added manipulation designed to introduce and reinforce group membership.</w:t>
      </w:r>
    </w:p>
    <w:p w14:paraId="4E94A884" w14:textId="00423A30" w:rsidR="00F5492D" w:rsidRPr="00F5492D" w:rsidRDefault="00000000" w:rsidP="00F5492D">
      <w:pPr>
        <w:pStyle w:val="NormalWeb"/>
        <w:spacing w:before="0" w:beforeAutospacing="0" w:after="0" w:afterAutospacing="0" w:line="480" w:lineRule="auto"/>
        <w:ind w:firstLine="720"/>
      </w:pPr>
      <w:r>
        <w:t xml:space="preserve">At the start of the session, children will be shown two groups of animated monster characters, purple and orange, each representing a different team. The researcher will explain </w:t>
      </w:r>
      <w:r>
        <w:lastRenderedPageBreak/>
        <w:t xml:space="preserve">that both teams are playing a game and invite the child to choose which team they would like to join. After choosing, the child will play a short spinner game twice to strengthen their identification with their chosen team. In </w:t>
      </w:r>
      <w:r w:rsidR="004102D7">
        <w:t>one</w:t>
      </w:r>
      <w:r>
        <w:t xml:space="preserve"> round, the child’s team will lose, and the researcher will comment that “your team lost; they are very sad.” In </w:t>
      </w:r>
      <w:r w:rsidR="004102D7">
        <w:t>another</w:t>
      </w:r>
      <w:r>
        <w:t xml:space="preserve"> round, the child’s team will win, and the researcher will say “your team won; they are very happy.” This activity is designed to reinforce a sense of belonging and establish clear in-group and out-group identities before the main task </w:t>
      </w:r>
      <w:r w:rsidR="00F5492D">
        <w:t>begins. To</w:t>
      </w:r>
      <w:r>
        <w:t xml:space="preserve"> confirm that the group manipulation was effective, children will complete brief measures assessing their sense of team affiliation. During the spinner games, they will be asked questions such as “How do you feel that your team won/lost?” and “Why?” to gauge emotional engagement and group identification. </w:t>
      </w:r>
      <w:r w:rsidR="00F5492D">
        <w:t xml:space="preserve">Additionally, a brief task requiring children to allocate five coins between two monsters on opposing teams will serve as a behavioral manipulation </w:t>
      </w:r>
      <w:r w:rsidR="00F5492D">
        <w:t>check. Together</w:t>
      </w:r>
      <w:r>
        <w:t>, these measures will ensure that children understand and identify with their assigned team before proceeding to the main task.</w:t>
      </w:r>
    </w:p>
    <w:p w14:paraId="00000037" w14:textId="77777777" w:rsidR="001E39BD" w:rsidRDefault="00000000">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Following the group activity, children will hear four </w:t>
      </w:r>
      <w:proofErr w:type="gramStart"/>
      <w:r>
        <w:rPr>
          <w:rFonts w:ascii="Times New Roman" w:eastAsia="Times New Roman" w:hAnsi="Times New Roman" w:cs="Times New Roman"/>
          <w:sz w:val="24"/>
          <w:szCs w:val="24"/>
        </w:rPr>
        <w:t>short illustrated</w:t>
      </w:r>
      <w:proofErr w:type="gramEnd"/>
      <w:r>
        <w:rPr>
          <w:rFonts w:ascii="Times New Roman" w:eastAsia="Times New Roman" w:hAnsi="Times New Roman" w:cs="Times New Roman"/>
          <w:sz w:val="24"/>
          <w:szCs w:val="24"/>
        </w:rPr>
        <w:t xml:space="preserve"> stories adapted from Chu and Schulz (2021). Each story presents a brief scenario in which a character experiences an everyday situation that invites multiple possible explanations. For example, in one story, a girl named Sally receives a letter in the mail and becomes very excited. The researcher then asks, “Why was Sally so excited?” Four possible explanations follow: a </w:t>
      </w:r>
      <w:r>
        <w:rPr>
          <w:rFonts w:ascii="Times New Roman" w:eastAsia="Times New Roman" w:hAnsi="Times New Roman" w:cs="Times New Roman"/>
          <w:i/>
          <w:iCs/>
          <w:sz w:val="24"/>
          <w:szCs w:val="24"/>
        </w:rPr>
        <w:t>likely answer</w:t>
      </w:r>
      <w:r>
        <w:rPr>
          <w:rFonts w:ascii="Times New Roman" w:eastAsia="Times New Roman" w:hAnsi="Times New Roman" w:cs="Times New Roman"/>
          <w:sz w:val="24"/>
          <w:szCs w:val="24"/>
        </w:rPr>
        <w:t xml:space="preserve"> that fits the story and makes sense given the context (e.g., she was invited to her best friend’s birthday party), an </w:t>
      </w:r>
      <w:r>
        <w:rPr>
          <w:rFonts w:ascii="Times New Roman" w:eastAsia="Times New Roman" w:hAnsi="Times New Roman" w:cs="Times New Roman"/>
          <w:i/>
          <w:iCs/>
          <w:sz w:val="24"/>
          <w:szCs w:val="24"/>
        </w:rPr>
        <w:t>unlikely answer</w:t>
      </w:r>
      <w:r>
        <w:rPr>
          <w:rFonts w:ascii="Times New Roman" w:eastAsia="Times New Roman" w:hAnsi="Times New Roman" w:cs="Times New Roman"/>
          <w:sz w:val="24"/>
          <w:szCs w:val="24"/>
        </w:rPr>
        <w:t xml:space="preserve"> that offers an alternative but less probable reason (e.g., she won a school competition), a </w:t>
      </w:r>
      <w:r>
        <w:rPr>
          <w:rFonts w:ascii="Times New Roman" w:eastAsia="Times New Roman" w:hAnsi="Times New Roman" w:cs="Times New Roman"/>
          <w:i/>
          <w:iCs/>
          <w:sz w:val="24"/>
          <w:szCs w:val="24"/>
        </w:rPr>
        <w:t>likely non-answer</w:t>
      </w:r>
      <w:r>
        <w:rPr>
          <w:rFonts w:ascii="Times New Roman" w:eastAsia="Times New Roman" w:hAnsi="Times New Roman" w:cs="Times New Roman"/>
          <w:sz w:val="24"/>
          <w:szCs w:val="24"/>
        </w:rPr>
        <w:t xml:space="preserve"> that provides a plausible statement but fails to explain the excitement (e.g., a reminder to return library books), and an </w:t>
      </w:r>
      <w:r>
        <w:rPr>
          <w:rFonts w:ascii="Times New Roman" w:eastAsia="Times New Roman" w:hAnsi="Times New Roman" w:cs="Times New Roman"/>
          <w:i/>
          <w:iCs/>
          <w:sz w:val="24"/>
          <w:szCs w:val="24"/>
        </w:rPr>
        <w:t>unlikely non-answer</w:t>
      </w:r>
      <w:r>
        <w:rPr>
          <w:rFonts w:ascii="Times New Roman" w:eastAsia="Times New Roman" w:hAnsi="Times New Roman" w:cs="Times New Roman"/>
          <w:sz w:val="24"/>
          <w:szCs w:val="24"/>
        </w:rPr>
        <w:t xml:space="preserve"> that is both implausible and irrelevant (e.g., a note from her teacher assigning extra work). These explanation </w:t>
      </w:r>
      <w:r>
        <w:rPr>
          <w:rFonts w:ascii="Times New Roman" w:eastAsia="Times New Roman" w:hAnsi="Times New Roman" w:cs="Times New Roman"/>
          <w:sz w:val="24"/>
          <w:szCs w:val="24"/>
        </w:rPr>
        <w:lastRenderedPageBreak/>
        <w:t xml:space="preserve">types allow the study to vary both the </w:t>
      </w:r>
      <w:r>
        <w:rPr>
          <w:rFonts w:ascii="Times New Roman" w:eastAsia="Times New Roman" w:hAnsi="Times New Roman" w:cs="Times New Roman"/>
          <w:i/>
          <w:iCs/>
          <w:sz w:val="24"/>
          <w:szCs w:val="24"/>
        </w:rPr>
        <w:t>likelihood</w:t>
      </w:r>
      <w:r>
        <w:rPr>
          <w:rFonts w:ascii="Times New Roman" w:eastAsia="Times New Roman" w:hAnsi="Times New Roman" w:cs="Times New Roman"/>
          <w:sz w:val="24"/>
          <w:szCs w:val="24"/>
        </w:rPr>
        <w:t xml:space="preserve"> and </w:t>
      </w:r>
      <w:r>
        <w:rPr>
          <w:rFonts w:ascii="Times New Roman" w:eastAsia="Times New Roman" w:hAnsi="Times New Roman" w:cs="Times New Roman"/>
          <w:i/>
          <w:iCs/>
          <w:sz w:val="24"/>
          <w:szCs w:val="24"/>
        </w:rPr>
        <w:t>fit</w:t>
      </w:r>
      <w:r>
        <w:rPr>
          <w:rFonts w:ascii="Times New Roman" w:eastAsia="Times New Roman" w:hAnsi="Times New Roman" w:cs="Times New Roman"/>
          <w:sz w:val="24"/>
          <w:szCs w:val="24"/>
        </w:rPr>
        <w:t xml:space="preserve"> of each statement to examine how these factors influence children’s evaluations. The order of the four explanations will be pseudorandomized across trials to avoid systematic order effects.</w:t>
      </w:r>
    </w:p>
    <w:p w14:paraId="00000038" w14:textId="77777777" w:rsidR="001E39BD" w:rsidRDefault="00000000">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After hearing each explanation, the researcher will ask the child to rate how good they think the explanation was. Ratings will be made using an ordinal scale displayed on the screen. The scale will include a series of colored dots that increase in size and change from red on the left to green on the right. The red dots represent negative evaluations (“a little bad,” “bad,” “</w:t>
      </w:r>
      <w:proofErr w:type="gramStart"/>
      <w:r>
        <w:rPr>
          <w:rFonts w:ascii="Times New Roman" w:eastAsia="Times New Roman" w:hAnsi="Times New Roman" w:cs="Times New Roman"/>
          <w:sz w:val="24"/>
          <w:szCs w:val="24"/>
        </w:rPr>
        <w:t>really bad</w:t>
      </w:r>
      <w:proofErr w:type="gramEnd"/>
      <w:r>
        <w:rPr>
          <w:rFonts w:ascii="Times New Roman" w:eastAsia="Times New Roman" w:hAnsi="Times New Roman" w:cs="Times New Roman"/>
          <w:sz w:val="24"/>
          <w:szCs w:val="24"/>
        </w:rPr>
        <w:t>”), and the green dots represent positive evaluations (“a little good,” “good,” “</w:t>
      </w:r>
      <w:proofErr w:type="gramStart"/>
      <w:r>
        <w:rPr>
          <w:rFonts w:ascii="Times New Roman" w:eastAsia="Times New Roman" w:hAnsi="Times New Roman" w:cs="Times New Roman"/>
          <w:sz w:val="24"/>
          <w:szCs w:val="24"/>
        </w:rPr>
        <w:t>really good</w:t>
      </w:r>
      <w:proofErr w:type="gramEnd"/>
      <w:r>
        <w:rPr>
          <w:rFonts w:ascii="Times New Roman" w:eastAsia="Times New Roman" w:hAnsi="Times New Roman" w:cs="Times New Roman"/>
          <w:sz w:val="24"/>
          <w:szCs w:val="24"/>
        </w:rPr>
        <w:t>”). Children will select the dot that best represents their judgment. After each rating, the researcher will ask, “Why do you think that?” to encourage the child to elaborate and explain their reasoning. These qualitative responses will provide insight into how children justify their evaluations and how they weigh factors such as likelihood, fit, and group membership when judging explanations.</w:t>
      </w:r>
    </w:p>
    <w:p w14:paraId="00000039" w14:textId="77777777" w:rsidR="001E39BD" w:rsidRDefault="00000000">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Across the four stories, two trials will be congruent, meaning the in-group informant provides the stronger explanations (answers higher in fit), while the out-group informant provides the weaker explanations (non-answers lower in fit). The remaining two trials will be incongruent, with the out-group informant providing the stronger explanations and the in-group informant giving the weaker ones. This manipulation allows the study to test whether children’s evaluations are guided primarily by explanatory quality or by social affiliation. The assignment of story content to congruent and incongruent conditions will be counterbalanced across participants, and the order in which in-group and out-group informants speak will be pseudorandomized to prevent sequence effects.</w:t>
      </w:r>
    </w:p>
    <w:p w14:paraId="0000003A" w14:textId="77777777" w:rsidR="001E39BD" w:rsidRDefault="00000000">
      <w:pPr>
        <w:spacing w:line="480" w:lineRule="auto"/>
        <w:ind w:firstLine="720"/>
        <w:rPr>
          <w:rFonts w:ascii="Times New Roman" w:eastAsia="Times New Roman" w:hAnsi="Times New Roman" w:cs="Times New Roman"/>
          <w:b/>
          <w:bCs/>
          <w:sz w:val="34"/>
          <w:szCs w:val="34"/>
        </w:rPr>
      </w:pPr>
      <w:r>
        <w:rPr>
          <w:rFonts w:ascii="Times New Roman" w:eastAsia="Times New Roman" w:hAnsi="Times New Roman" w:cs="Times New Roman"/>
          <w:sz w:val="24"/>
          <w:szCs w:val="24"/>
        </w:rPr>
        <w:lastRenderedPageBreak/>
        <w:t>The independent variables will include explanation fit (high vs. low), explanation likelihood (high vs. low), trial type (congruent vs. incongruent), and group membership (in-group vs. out-group source). Age will be included as a continuous variable to explore developmental differences. The dependent variable will be the child’s rating of explanation quality.</w:t>
      </w:r>
    </w:p>
    <w:p w14:paraId="0000003B" w14:textId="77777777" w:rsidR="001E39BD" w:rsidRDefault="00000000">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Children’s evaluations of the explanations will be measured using the ordinal rating scale described above. This scale provides a more sensitive measure than a simple forced-choice format and allows children to express fine-grained distinctions in their judgments of explanatory quality. Each rating captures the child’s subjective evaluation of how well an explanation fits the question and how likely it seems given their existing knowledge.</w:t>
      </w:r>
    </w:p>
    <w:p w14:paraId="0000003C" w14:textId="77777777" w:rsidR="001E39BD" w:rsidRDefault="00000000">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In addition to the numeric rating, each child’s verbal justification in response to the “Why do you think that?” question will be recorded and later transcribed. These qualitative responses will serve as a secondary measure, offering additional insight into the reasoning strategies children use when evaluating explanations of different quality and from different social sources.</w:t>
      </w:r>
    </w:p>
    <w:p w14:paraId="0000003D" w14:textId="533B923D" w:rsidR="001E39BD" w:rsidRDefault="00000000">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Data will be analyzed using linear mixed-effects modeling to account for both within-subject and between-subject variability. The primary outcome variable will be children’s ordinal ratings of explanation quality (ranging from 1 = “really bad” to 6 = “really good”). Predictors will include explanation fit (high vs. low), explanation likelihood (high vs. low), trial type (congruent vs. incongruent), group membership (in-group vs. out-group source), and age (in months, </w:t>
      </w:r>
      <w:r w:rsidR="00603F3B">
        <w:rPr>
          <w:rFonts w:ascii="Times New Roman" w:eastAsia="Times New Roman" w:hAnsi="Times New Roman" w:cs="Times New Roman"/>
          <w:sz w:val="24"/>
          <w:szCs w:val="24"/>
        </w:rPr>
        <w:t>calculated using the child’s exact birthdate and expressed as a continuous variable to two decimal places</w:t>
      </w:r>
      <w:r>
        <w:rPr>
          <w:rFonts w:ascii="Times New Roman" w:eastAsia="Times New Roman" w:hAnsi="Times New Roman" w:cs="Times New Roman"/>
          <w:sz w:val="24"/>
          <w:szCs w:val="24"/>
        </w:rPr>
        <w:t>). Random intercepts for participants and story items will be included to account for individual differences and story-specific effects.</w:t>
      </w:r>
      <w:r w:rsidR="00603F3B" w:rsidRPr="00603F3B">
        <w:t xml:space="preserve"> </w:t>
      </w:r>
    </w:p>
    <w:p w14:paraId="0000003E" w14:textId="77777777" w:rsidR="001E39BD" w:rsidRDefault="00000000">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Planned analyses will examine the main effects of likelihood, fit, and group membership, as well as their interactions. Of particular interest is whether children’s endorsement ratings differ between congruent and incongruent trials, revealing the relative influence of social and epistemic cues on their evaluations. Interaction effects between age and the key predictors will also be tested to explore developmental changes in how children balance explanatory quality against social affiliation.</w:t>
      </w:r>
    </w:p>
    <w:p w14:paraId="0000003F" w14:textId="77777777" w:rsidR="001E39BD" w:rsidRDefault="00000000">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Children’s “why” responses will be reviewed for recurring themes related to how they explain and justify their ratings. Codes will be developed inductively by looking for patterns across a subset of responses, and two independent coders will work together to ensure consistency and reliability in how the data are categorized. Quantitative ratings and qualitative reasoning data will then be compared to determine whether explicit justifications align with children’s numeric evaluations, providing supporting evidence for how children integrate likelihood, fit, and group membership when endorsing explanations.</w:t>
      </w:r>
    </w:p>
    <w:p w14:paraId="00000040" w14:textId="77777777" w:rsidR="001E39BD" w:rsidRDefault="001E39BD">
      <w:pPr>
        <w:spacing w:line="480" w:lineRule="auto"/>
        <w:ind w:firstLine="720"/>
        <w:rPr>
          <w:rFonts w:ascii="Times New Roman" w:eastAsia="Times New Roman" w:hAnsi="Times New Roman" w:cs="Times New Roman"/>
          <w:sz w:val="24"/>
          <w:szCs w:val="24"/>
        </w:rPr>
      </w:pPr>
    </w:p>
    <w:p w14:paraId="00000041" w14:textId="77777777" w:rsidR="001E39BD" w:rsidRDefault="00000000">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4. Expected Contributions &amp; Broader Impacts</w:t>
      </w:r>
    </w:p>
    <w:p w14:paraId="00000042" w14:textId="77777777" w:rsidR="001E39BD" w:rsidRDefault="00000000">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proposed study will contribute to research on children’s selective trust and explanatory reasoning by integrating two areas that have rarely been studied together: how children evaluate speculative conjectures and how group membership influences those evaluations. By examining how children weigh the </w:t>
      </w:r>
      <w:r>
        <w:rPr>
          <w:rFonts w:ascii="Times New Roman" w:eastAsia="Times New Roman" w:hAnsi="Times New Roman" w:cs="Times New Roman"/>
          <w:i/>
          <w:iCs/>
          <w:sz w:val="24"/>
          <w:szCs w:val="24"/>
        </w:rPr>
        <w:t>likelihood</w:t>
      </w:r>
      <w:r>
        <w:rPr>
          <w:rFonts w:ascii="Times New Roman" w:eastAsia="Times New Roman" w:hAnsi="Times New Roman" w:cs="Times New Roman"/>
          <w:sz w:val="24"/>
          <w:szCs w:val="24"/>
        </w:rPr>
        <w:t xml:space="preserve"> and </w:t>
      </w:r>
      <w:r>
        <w:rPr>
          <w:rFonts w:ascii="Times New Roman" w:eastAsia="Times New Roman" w:hAnsi="Times New Roman" w:cs="Times New Roman"/>
          <w:i/>
          <w:iCs/>
          <w:sz w:val="24"/>
          <w:szCs w:val="24"/>
        </w:rPr>
        <w:t>fit</w:t>
      </w:r>
      <w:r>
        <w:rPr>
          <w:rFonts w:ascii="Times New Roman" w:eastAsia="Times New Roman" w:hAnsi="Times New Roman" w:cs="Times New Roman"/>
          <w:sz w:val="24"/>
          <w:szCs w:val="24"/>
        </w:rPr>
        <w:t xml:space="preserve"> of explanations offered by in-group and out-group informants, this research will clarify whether children’s openness to uncertain ideas depends more on social affiliation or on explanatory quality. The findings will extend prior work by Chu and Schulz (2021) by exploring how social dynamics influence </w:t>
      </w:r>
      <w:r>
        <w:rPr>
          <w:rFonts w:ascii="Times New Roman" w:eastAsia="Times New Roman" w:hAnsi="Times New Roman" w:cs="Times New Roman"/>
          <w:sz w:val="24"/>
          <w:szCs w:val="24"/>
        </w:rPr>
        <w:lastRenderedPageBreak/>
        <w:t>children’s willingness to endorse speculative explanations, providing a richer account of how cognitive and social factors interact in children’s learning.</w:t>
      </w:r>
    </w:p>
    <w:p w14:paraId="00000043" w14:textId="77777777" w:rsidR="001E39BD" w:rsidRDefault="00000000">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This project is expected to make both theoretical and practical contributions. Theoretically, it will advance understanding of </w:t>
      </w:r>
      <w:r>
        <w:rPr>
          <w:rFonts w:ascii="Times New Roman" w:eastAsia="Times New Roman" w:hAnsi="Times New Roman" w:cs="Times New Roman"/>
          <w:i/>
          <w:iCs/>
          <w:sz w:val="24"/>
          <w:szCs w:val="24"/>
        </w:rPr>
        <w:t>epistemic development</w:t>
      </w:r>
      <w:r>
        <w:rPr>
          <w:rFonts w:ascii="Times New Roman" w:eastAsia="Times New Roman" w:hAnsi="Times New Roman" w:cs="Times New Roman"/>
          <w:sz w:val="24"/>
          <w:szCs w:val="24"/>
        </w:rPr>
        <w:t xml:space="preserve">, which is how children learn to evaluate information and decide what to believe when evidence is incomplete. It will also inform models of </w:t>
      </w:r>
      <w:r>
        <w:rPr>
          <w:rFonts w:ascii="Times New Roman" w:eastAsia="Times New Roman" w:hAnsi="Times New Roman" w:cs="Times New Roman"/>
          <w:i/>
          <w:iCs/>
          <w:sz w:val="24"/>
          <w:szCs w:val="24"/>
        </w:rPr>
        <w:t>social cognition</w:t>
      </w:r>
      <w:r>
        <w:rPr>
          <w:rFonts w:ascii="Times New Roman" w:eastAsia="Times New Roman" w:hAnsi="Times New Roman" w:cs="Times New Roman"/>
          <w:sz w:val="24"/>
          <w:szCs w:val="24"/>
        </w:rPr>
        <w:t xml:space="preserve"> by revealing how social identity and group cues shape children’s judgments about knowledge and uncertainty. Practically, the findings may inform educational and parenting strategies aimed at helping children think critically about information, especially in group contexts where biases toward familiar sources might affect their openness to new ideas. Encouraging children to evaluate the </w:t>
      </w:r>
      <w:r>
        <w:rPr>
          <w:rFonts w:ascii="Times New Roman" w:eastAsia="Times New Roman" w:hAnsi="Times New Roman" w:cs="Times New Roman"/>
          <w:i/>
          <w:iCs/>
          <w:sz w:val="24"/>
          <w:szCs w:val="24"/>
        </w:rPr>
        <w:t>fit</w:t>
      </w:r>
      <w:r>
        <w:rPr>
          <w:rFonts w:ascii="Times New Roman" w:eastAsia="Times New Roman" w:hAnsi="Times New Roman" w:cs="Times New Roman"/>
          <w:sz w:val="24"/>
          <w:szCs w:val="24"/>
        </w:rPr>
        <w:t xml:space="preserve"> and </w:t>
      </w:r>
      <w:r>
        <w:rPr>
          <w:rFonts w:ascii="Times New Roman" w:eastAsia="Times New Roman" w:hAnsi="Times New Roman" w:cs="Times New Roman"/>
          <w:i/>
          <w:iCs/>
          <w:sz w:val="24"/>
          <w:szCs w:val="24"/>
        </w:rPr>
        <w:t>plausibility</w:t>
      </w:r>
      <w:r>
        <w:rPr>
          <w:rFonts w:ascii="Times New Roman" w:eastAsia="Times New Roman" w:hAnsi="Times New Roman" w:cs="Times New Roman"/>
          <w:sz w:val="24"/>
          <w:szCs w:val="24"/>
        </w:rPr>
        <w:t xml:space="preserve"> of explanations, rather than relying solely on who provides them, may help promote more balanced and equitable reasoning in both classroom and everyday settings.</w:t>
      </w:r>
    </w:p>
    <w:p w14:paraId="00000044" w14:textId="77777777" w:rsidR="001E39BD" w:rsidRDefault="00000000">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Several limitations should be acknowledged. The sample size is modest, which may limit statistical power and generalizability. Because the study will be conducted online, environmental distractions and varying levels of parental involvement could influence children’s responses. In addition, the simplified animated format, while engaging, may not fully capture the complexity of real-world social interactions. Future research could address these limitations by including larger, more diverse samples and testing in both virtual and in-person contexts.</w:t>
      </w:r>
    </w:p>
    <w:p w14:paraId="00000045" w14:textId="77777777" w:rsidR="001E39BD" w:rsidRDefault="00000000">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Results from this study will be shared through undergraduate and departmental research symposia and conference presentations. Findings may also be communicated through community outreach, such as science education events or workshops for parents and educators, to highlight how children think about evidence and social information when forming beliefs.</w:t>
      </w:r>
    </w:p>
    <w:p w14:paraId="00000048" w14:textId="77777777" w:rsidR="001E39BD" w:rsidRDefault="001E39BD" w:rsidP="00560073">
      <w:pPr>
        <w:spacing w:line="480" w:lineRule="auto"/>
        <w:rPr>
          <w:rFonts w:ascii="Times New Roman" w:eastAsia="Times New Roman" w:hAnsi="Times New Roman" w:cs="Times New Roman"/>
          <w:b/>
          <w:bCs/>
          <w:sz w:val="24"/>
          <w:szCs w:val="24"/>
        </w:rPr>
      </w:pPr>
    </w:p>
    <w:p w14:paraId="00000049" w14:textId="77777777" w:rsidR="001E39BD" w:rsidRDefault="00000000">
      <w:pPr>
        <w:spacing w:line="48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lastRenderedPageBreak/>
        <w:t>References</w:t>
      </w:r>
    </w:p>
    <w:p w14:paraId="4E282212" w14:textId="77777777" w:rsidR="00392A0A" w:rsidRDefault="00000000" w:rsidP="00392A0A">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Butler, L. P. (2020). The Empirical Child? A Framework for Investigating the Development of </w:t>
      </w:r>
    </w:p>
    <w:p w14:paraId="1AC70D2E" w14:textId="77777777" w:rsidR="00392A0A" w:rsidRDefault="00000000" w:rsidP="00392A0A">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Scientific Habits of Mind. </w:t>
      </w:r>
      <w:r>
        <w:rPr>
          <w:rFonts w:ascii="Times New Roman" w:eastAsia="Times New Roman" w:hAnsi="Times New Roman" w:cs="Times New Roman"/>
          <w:i/>
          <w:iCs/>
          <w:sz w:val="24"/>
          <w:szCs w:val="24"/>
        </w:rPr>
        <w:t>Child Development Perspectives</w:t>
      </w:r>
      <w:r>
        <w:rPr>
          <w:rFonts w:ascii="Times New Roman" w:eastAsia="Times New Roman" w:hAnsi="Times New Roman" w:cs="Times New Roman"/>
          <w:sz w:val="24"/>
          <w:szCs w:val="24"/>
        </w:rPr>
        <w:t xml:space="preserve">, </w:t>
      </w:r>
      <w:r>
        <w:rPr>
          <w:rFonts w:ascii="Times New Roman" w:eastAsia="Times New Roman" w:hAnsi="Times New Roman" w:cs="Times New Roman"/>
          <w:i/>
          <w:iCs/>
          <w:sz w:val="24"/>
          <w:szCs w:val="24"/>
        </w:rPr>
        <w:t>14</w:t>
      </w:r>
      <w:r>
        <w:rPr>
          <w:rFonts w:ascii="Times New Roman" w:eastAsia="Times New Roman" w:hAnsi="Times New Roman" w:cs="Times New Roman"/>
          <w:sz w:val="24"/>
          <w:szCs w:val="24"/>
        </w:rPr>
        <w:t xml:space="preserve">(1), 34–40. </w:t>
      </w:r>
    </w:p>
    <w:p w14:paraId="0000004A" w14:textId="74AFE3E7" w:rsidR="001E39BD" w:rsidRDefault="001E39BD" w:rsidP="00392A0A">
      <w:pPr>
        <w:spacing w:line="480" w:lineRule="auto"/>
        <w:ind w:firstLine="720"/>
        <w:rPr>
          <w:rFonts w:ascii="Times New Roman" w:eastAsia="Times New Roman" w:hAnsi="Times New Roman" w:cs="Times New Roman"/>
          <w:sz w:val="24"/>
          <w:szCs w:val="24"/>
        </w:rPr>
      </w:pPr>
      <w:hyperlink r:id="rId6">
        <w:r>
          <w:rPr>
            <w:rFonts w:ascii="Times New Roman" w:eastAsia="Times New Roman" w:hAnsi="Times New Roman" w:cs="Times New Roman"/>
            <w:sz w:val="24"/>
            <w:szCs w:val="24"/>
            <w:u w:val="single"/>
          </w:rPr>
          <w:t>https://doi.org/10.1111/cdep.12354</w:t>
        </w:r>
      </w:hyperlink>
      <w:r>
        <w:rPr>
          <w:rFonts w:ascii="Times New Roman" w:eastAsia="Times New Roman" w:hAnsi="Times New Roman" w:cs="Times New Roman"/>
          <w:sz w:val="24"/>
          <w:szCs w:val="24"/>
        </w:rPr>
        <w:t xml:space="preserve"> </w:t>
      </w:r>
    </w:p>
    <w:p w14:paraId="68242F4A" w14:textId="77777777" w:rsidR="00392A0A" w:rsidRDefault="00000000" w:rsidP="00392A0A">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Butler, L. P., Schmidt, M. F. H., </w:t>
      </w:r>
      <w:proofErr w:type="spellStart"/>
      <w:r>
        <w:rPr>
          <w:rFonts w:ascii="Times New Roman" w:eastAsia="Times New Roman" w:hAnsi="Times New Roman" w:cs="Times New Roman"/>
          <w:sz w:val="24"/>
          <w:szCs w:val="24"/>
        </w:rPr>
        <w:t>Tavassolie</w:t>
      </w:r>
      <w:proofErr w:type="spellEnd"/>
      <w:r>
        <w:rPr>
          <w:rFonts w:ascii="Times New Roman" w:eastAsia="Times New Roman" w:hAnsi="Times New Roman" w:cs="Times New Roman"/>
          <w:sz w:val="24"/>
          <w:szCs w:val="24"/>
        </w:rPr>
        <w:t xml:space="preserve">, N. S., &amp; Gibbs, H. M. (2018). Children’s evaluation </w:t>
      </w:r>
    </w:p>
    <w:p w14:paraId="122E217A" w14:textId="77777777" w:rsidR="00392A0A" w:rsidRDefault="00000000" w:rsidP="00392A0A">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of verified and unverified claims. </w:t>
      </w:r>
      <w:r>
        <w:rPr>
          <w:rFonts w:ascii="Times New Roman" w:eastAsia="Times New Roman" w:hAnsi="Times New Roman" w:cs="Times New Roman"/>
          <w:i/>
          <w:iCs/>
          <w:sz w:val="24"/>
          <w:szCs w:val="24"/>
        </w:rPr>
        <w:t>Journal of Experimental Child Psychology</w:t>
      </w:r>
      <w:r>
        <w:rPr>
          <w:rFonts w:ascii="Times New Roman" w:eastAsia="Times New Roman" w:hAnsi="Times New Roman" w:cs="Times New Roman"/>
          <w:sz w:val="24"/>
          <w:szCs w:val="24"/>
        </w:rPr>
        <w:t xml:space="preserve">, </w:t>
      </w:r>
      <w:r>
        <w:rPr>
          <w:rFonts w:ascii="Times New Roman" w:eastAsia="Times New Roman" w:hAnsi="Times New Roman" w:cs="Times New Roman"/>
          <w:i/>
          <w:iCs/>
          <w:sz w:val="24"/>
          <w:szCs w:val="24"/>
        </w:rPr>
        <w:t>176</w:t>
      </w:r>
      <w:r>
        <w:rPr>
          <w:rFonts w:ascii="Times New Roman" w:eastAsia="Times New Roman" w:hAnsi="Times New Roman" w:cs="Times New Roman"/>
          <w:sz w:val="24"/>
          <w:szCs w:val="24"/>
        </w:rPr>
        <w:t xml:space="preserve">(12), </w:t>
      </w:r>
    </w:p>
    <w:p w14:paraId="0000004B" w14:textId="4F372909" w:rsidR="001E39BD" w:rsidRDefault="00000000" w:rsidP="00392A0A">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73–83. </w:t>
      </w:r>
      <w:hyperlink r:id="rId7">
        <w:r w:rsidR="001E39BD">
          <w:rPr>
            <w:rFonts w:ascii="Times New Roman" w:eastAsia="Times New Roman" w:hAnsi="Times New Roman" w:cs="Times New Roman"/>
            <w:sz w:val="24"/>
            <w:szCs w:val="24"/>
            <w:u w:val="single"/>
          </w:rPr>
          <w:t>https://doi.org/10.1016/j.jecp.2018.07.007</w:t>
        </w:r>
      </w:hyperlink>
      <w:r>
        <w:rPr>
          <w:rFonts w:ascii="Times New Roman" w:eastAsia="Times New Roman" w:hAnsi="Times New Roman" w:cs="Times New Roman"/>
          <w:sz w:val="24"/>
          <w:szCs w:val="24"/>
        </w:rPr>
        <w:t xml:space="preserve"> </w:t>
      </w:r>
    </w:p>
    <w:p w14:paraId="0000004C" w14:textId="77777777" w:rsidR="001E39BD" w:rsidRDefault="00000000">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Brosseau-Liard, P. E., &amp; Birch, S. A. J. (2010). ‘I bet you know more and are nicer too!’: What </w:t>
      </w:r>
    </w:p>
    <w:p w14:paraId="0000004D" w14:textId="77777777" w:rsidR="001E39BD" w:rsidRDefault="00000000">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children infer from others’ accuracy. </w:t>
      </w:r>
      <w:r>
        <w:rPr>
          <w:rFonts w:ascii="Times New Roman" w:eastAsia="Times New Roman" w:hAnsi="Times New Roman" w:cs="Times New Roman"/>
          <w:i/>
          <w:iCs/>
          <w:sz w:val="24"/>
          <w:szCs w:val="24"/>
        </w:rPr>
        <w:t>Developmental Science, 13</w:t>
      </w:r>
      <w:r>
        <w:rPr>
          <w:rFonts w:ascii="Times New Roman" w:eastAsia="Times New Roman" w:hAnsi="Times New Roman" w:cs="Times New Roman"/>
          <w:sz w:val="24"/>
          <w:szCs w:val="24"/>
        </w:rPr>
        <w:t xml:space="preserve">(5), 772–778. </w:t>
      </w:r>
    </w:p>
    <w:p w14:paraId="0000004E" w14:textId="77777777" w:rsidR="001E39BD" w:rsidRDefault="001E39BD">
      <w:pPr>
        <w:spacing w:line="480" w:lineRule="auto"/>
        <w:ind w:firstLine="720"/>
        <w:rPr>
          <w:rFonts w:ascii="Times New Roman" w:eastAsia="Times New Roman" w:hAnsi="Times New Roman" w:cs="Times New Roman"/>
          <w:sz w:val="24"/>
          <w:szCs w:val="24"/>
        </w:rPr>
      </w:pPr>
      <w:hyperlink r:id="rId8">
        <w:r>
          <w:rPr>
            <w:rFonts w:ascii="Times New Roman" w:eastAsia="Times New Roman" w:hAnsi="Times New Roman" w:cs="Times New Roman"/>
            <w:sz w:val="24"/>
            <w:szCs w:val="24"/>
            <w:u w:val="single"/>
          </w:rPr>
          <w:t>https://doi.org/10.1111/j.1467-7687.2009.00932.x</w:t>
        </w:r>
      </w:hyperlink>
      <w:r>
        <w:rPr>
          <w:rFonts w:ascii="Times New Roman" w:eastAsia="Times New Roman" w:hAnsi="Times New Roman" w:cs="Times New Roman"/>
          <w:sz w:val="24"/>
          <w:szCs w:val="24"/>
        </w:rPr>
        <w:t xml:space="preserve"> </w:t>
      </w:r>
    </w:p>
    <w:p w14:paraId="0000004F" w14:textId="77777777" w:rsidR="001E39BD" w:rsidRDefault="00000000">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Brosseau-Liard, P. E., Cassels, T., &amp; Birch, S. A. J. (2014). You seem certain but you were </w:t>
      </w:r>
    </w:p>
    <w:p w14:paraId="00000050" w14:textId="77777777" w:rsidR="001E39BD" w:rsidRDefault="00000000">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wrong before: Developmental change in preschoolers’ relative trust in accurate versus </w:t>
      </w:r>
    </w:p>
    <w:p w14:paraId="00000051" w14:textId="77777777" w:rsidR="001E39BD" w:rsidRDefault="00000000">
      <w:pPr>
        <w:spacing w:line="48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confident speakers. </w:t>
      </w:r>
      <w:proofErr w:type="spellStart"/>
      <w:r>
        <w:rPr>
          <w:rFonts w:ascii="Times New Roman" w:eastAsia="Times New Roman" w:hAnsi="Times New Roman" w:cs="Times New Roman"/>
          <w:i/>
          <w:iCs/>
          <w:sz w:val="24"/>
          <w:szCs w:val="24"/>
        </w:rPr>
        <w:t>PLoS</w:t>
      </w:r>
      <w:proofErr w:type="spellEnd"/>
      <w:r>
        <w:rPr>
          <w:rFonts w:ascii="Times New Roman" w:eastAsia="Times New Roman" w:hAnsi="Times New Roman" w:cs="Times New Roman"/>
          <w:i/>
          <w:iCs/>
          <w:sz w:val="24"/>
          <w:szCs w:val="24"/>
        </w:rPr>
        <w:t xml:space="preserve"> ONE, 9</w:t>
      </w:r>
      <w:r>
        <w:rPr>
          <w:rFonts w:ascii="Times New Roman" w:eastAsia="Times New Roman" w:hAnsi="Times New Roman" w:cs="Times New Roman"/>
          <w:sz w:val="24"/>
          <w:szCs w:val="24"/>
        </w:rPr>
        <w:t xml:space="preserve">(9), e108308. </w:t>
      </w:r>
      <w:hyperlink r:id="rId9">
        <w:r w:rsidR="001E39BD">
          <w:rPr>
            <w:rFonts w:ascii="Times New Roman" w:eastAsia="Times New Roman" w:hAnsi="Times New Roman" w:cs="Times New Roman"/>
            <w:sz w:val="24"/>
            <w:szCs w:val="24"/>
            <w:u w:val="single"/>
          </w:rPr>
          <w:t>https://doi.org/10.1371/journal.pone.0108308</w:t>
        </w:r>
      </w:hyperlink>
      <w:r>
        <w:rPr>
          <w:rFonts w:ascii="Times New Roman" w:eastAsia="Times New Roman" w:hAnsi="Times New Roman" w:cs="Times New Roman"/>
          <w:sz w:val="24"/>
          <w:szCs w:val="24"/>
        </w:rPr>
        <w:t xml:space="preserve"> </w:t>
      </w:r>
    </w:p>
    <w:p w14:paraId="00000052" w14:textId="77777777" w:rsidR="001E39BD" w:rsidRDefault="00000000">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Chan, C., &amp; Tardif, T. (2013). Knowing better: The role of prior knowledge and culture in trust </w:t>
      </w:r>
    </w:p>
    <w:p w14:paraId="00000053" w14:textId="77777777" w:rsidR="001E39BD" w:rsidRDefault="00000000">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 testimony. </w:t>
      </w:r>
      <w:r>
        <w:rPr>
          <w:rFonts w:ascii="Times New Roman" w:eastAsia="Times New Roman" w:hAnsi="Times New Roman" w:cs="Times New Roman"/>
          <w:i/>
          <w:iCs/>
          <w:sz w:val="24"/>
          <w:szCs w:val="24"/>
        </w:rPr>
        <w:t>Developmental Psychology, 49</w:t>
      </w:r>
      <w:r>
        <w:rPr>
          <w:rFonts w:ascii="Times New Roman" w:eastAsia="Times New Roman" w:hAnsi="Times New Roman" w:cs="Times New Roman"/>
          <w:sz w:val="24"/>
          <w:szCs w:val="24"/>
        </w:rPr>
        <w:t xml:space="preserve">(3), 591–601. </w:t>
      </w:r>
    </w:p>
    <w:p w14:paraId="00000054" w14:textId="77777777" w:rsidR="001E39BD" w:rsidRDefault="001E39BD">
      <w:pPr>
        <w:spacing w:line="480" w:lineRule="auto"/>
        <w:ind w:firstLine="720"/>
        <w:rPr>
          <w:rFonts w:ascii="Times New Roman" w:eastAsia="Times New Roman" w:hAnsi="Times New Roman" w:cs="Times New Roman"/>
          <w:sz w:val="24"/>
          <w:szCs w:val="24"/>
        </w:rPr>
      </w:pPr>
      <w:hyperlink r:id="rId10">
        <w:r>
          <w:rPr>
            <w:rFonts w:ascii="Times New Roman" w:eastAsia="Times New Roman" w:hAnsi="Times New Roman" w:cs="Times New Roman"/>
            <w:sz w:val="24"/>
            <w:szCs w:val="24"/>
            <w:highlight w:val="white"/>
            <w:u w:val="single"/>
          </w:rPr>
          <w:t xml:space="preserve"> https://doi.org/10.1037/a003133</w:t>
        </w:r>
      </w:hyperlink>
      <w:hyperlink r:id="rId11">
        <w:r>
          <w:rPr>
            <w:rFonts w:ascii="Times New Roman" w:eastAsia="Times New Roman" w:hAnsi="Times New Roman" w:cs="Times New Roman"/>
            <w:sz w:val="24"/>
            <w:szCs w:val="24"/>
            <w:u w:val="single"/>
          </w:rPr>
          <w:t>6</w:t>
        </w:r>
      </w:hyperlink>
    </w:p>
    <w:p w14:paraId="00000055" w14:textId="77777777" w:rsidR="001E39BD" w:rsidRDefault="00000000">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Chen, E. E., Corriveau, K. H., &amp; Harris, P. L. (2013). Children trust a consensus composed of </w:t>
      </w:r>
    </w:p>
    <w:p w14:paraId="00000056" w14:textId="77777777" w:rsidR="001E39BD" w:rsidRDefault="00000000">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outgroup members—but do not retain that trust. </w:t>
      </w:r>
      <w:r>
        <w:rPr>
          <w:rFonts w:ascii="Times New Roman" w:eastAsia="Times New Roman" w:hAnsi="Times New Roman" w:cs="Times New Roman"/>
          <w:i/>
          <w:iCs/>
          <w:sz w:val="24"/>
          <w:szCs w:val="24"/>
        </w:rPr>
        <w:t>Child Development, 84</w:t>
      </w:r>
      <w:r>
        <w:rPr>
          <w:rFonts w:ascii="Times New Roman" w:eastAsia="Times New Roman" w:hAnsi="Times New Roman" w:cs="Times New Roman"/>
          <w:sz w:val="24"/>
          <w:szCs w:val="24"/>
        </w:rPr>
        <w:t xml:space="preserve">(1), 269–282. </w:t>
      </w:r>
    </w:p>
    <w:p w14:paraId="00000057" w14:textId="77777777" w:rsidR="001E39BD" w:rsidRDefault="001E39BD">
      <w:pPr>
        <w:spacing w:line="480" w:lineRule="auto"/>
        <w:ind w:left="720"/>
        <w:rPr>
          <w:rFonts w:ascii="Times New Roman" w:eastAsia="Times New Roman" w:hAnsi="Times New Roman" w:cs="Times New Roman"/>
          <w:sz w:val="24"/>
          <w:szCs w:val="24"/>
        </w:rPr>
      </w:pPr>
      <w:hyperlink r:id="rId12">
        <w:r>
          <w:rPr>
            <w:rFonts w:ascii="Times New Roman" w:eastAsia="Times New Roman" w:hAnsi="Times New Roman" w:cs="Times New Roman"/>
            <w:sz w:val="24"/>
            <w:szCs w:val="24"/>
            <w:u w:val="single"/>
          </w:rPr>
          <w:t>https://doi.org/10.1111/j.1467-8624.2012.01850.x</w:t>
        </w:r>
      </w:hyperlink>
      <w:r>
        <w:rPr>
          <w:rFonts w:ascii="Times New Roman" w:eastAsia="Times New Roman" w:hAnsi="Times New Roman" w:cs="Times New Roman"/>
          <w:sz w:val="24"/>
          <w:szCs w:val="24"/>
        </w:rPr>
        <w:t xml:space="preserve"> </w:t>
      </w:r>
    </w:p>
    <w:p w14:paraId="00000058" w14:textId="77777777" w:rsidR="001E39BD" w:rsidRDefault="00000000">
      <w:pPr>
        <w:spacing w:line="480" w:lineRule="auto"/>
        <w:rPr>
          <w:rFonts w:ascii="Times New Roman" w:eastAsia="Times New Roman" w:hAnsi="Times New Roman" w:cs="Times New Roman"/>
          <w:i/>
          <w:iCs/>
          <w:sz w:val="24"/>
          <w:szCs w:val="24"/>
        </w:rPr>
      </w:pPr>
      <w:r>
        <w:rPr>
          <w:rFonts w:ascii="Times New Roman" w:eastAsia="Times New Roman" w:hAnsi="Times New Roman" w:cs="Times New Roman"/>
          <w:sz w:val="24"/>
          <w:szCs w:val="24"/>
        </w:rPr>
        <w:t xml:space="preserve">Chu, J. Y., &amp; Schulz, L. E. (2021). Children selectively endorse speculative conjectures. </w:t>
      </w:r>
      <w:r>
        <w:rPr>
          <w:rFonts w:ascii="Times New Roman" w:eastAsia="Times New Roman" w:hAnsi="Times New Roman" w:cs="Times New Roman"/>
          <w:i/>
          <w:iCs/>
          <w:sz w:val="24"/>
          <w:szCs w:val="24"/>
        </w:rPr>
        <w:t xml:space="preserve">Child </w:t>
      </w:r>
    </w:p>
    <w:p w14:paraId="00000059" w14:textId="77777777" w:rsidR="001E39BD" w:rsidRDefault="00000000">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i/>
          <w:iCs/>
          <w:sz w:val="24"/>
          <w:szCs w:val="24"/>
        </w:rPr>
        <w:t>Development, 92</w:t>
      </w:r>
      <w:r>
        <w:rPr>
          <w:rFonts w:ascii="Times New Roman" w:eastAsia="Times New Roman" w:hAnsi="Times New Roman" w:cs="Times New Roman"/>
          <w:sz w:val="24"/>
          <w:szCs w:val="24"/>
        </w:rPr>
        <w:t xml:space="preserve">(1), 215–231. </w:t>
      </w:r>
      <w:hyperlink r:id="rId13">
        <w:r w:rsidR="001E39BD">
          <w:rPr>
            <w:rFonts w:ascii="Times New Roman" w:eastAsia="Times New Roman" w:hAnsi="Times New Roman" w:cs="Times New Roman"/>
            <w:sz w:val="24"/>
            <w:szCs w:val="24"/>
            <w:u w:val="single"/>
          </w:rPr>
          <w:t>https://doi.org/</w:t>
        </w:r>
      </w:hyperlink>
      <w:hyperlink r:id="rId14">
        <w:r w:rsidR="001E39BD">
          <w:rPr>
            <w:rFonts w:ascii="Times New Roman" w:eastAsia="Times New Roman" w:hAnsi="Times New Roman" w:cs="Times New Roman"/>
            <w:sz w:val="24"/>
            <w:szCs w:val="24"/>
            <w:highlight w:val="white"/>
            <w:u w:val="single"/>
          </w:rPr>
          <w:t>10.1111/cdev.13647</w:t>
        </w:r>
      </w:hyperlink>
    </w:p>
    <w:p w14:paraId="5ADB03F0" w14:textId="77777777" w:rsidR="00392A0A" w:rsidRDefault="00000000">
      <w:pPr>
        <w:spacing w:line="480" w:lineRule="auto"/>
        <w:rPr>
          <w:rFonts w:ascii="Times New Roman" w:eastAsia="Times New Roman" w:hAnsi="Times New Roman" w:cs="Times New Roman"/>
          <w:i/>
          <w:iCs/>
          <w:sz w:val="24"/>
          <w:szCs w:val="24"/>
        </w:rPr>
      </w:pPr>
      <w:r>
        <w:rPr>
          <w:rFonts w:ascii="Times New Roman" w:eastAsia="Times New Roman" w:hAnsi="Times New Roman" w:cs="Times New Roman"/>
          <w:sz w:val="24"/>
          <w:szCs w:val="24"/>
        </w:rPr>
        <w:t xml:space="preserve">Clément, F. (2010). To trust or not to trust? Children’s social epistemology. </w:t>
      </w:r>
      <w:r>
        <w:rPr>
          <w:rFonts w:ascii="Times New Roman" w:eastAsia="Times New Roman" w:hAnsi="Times New Roman" w:cs="Times New Roman"/>
          <w:i/>
          <w:iCs/>
          <w:sz w:val="24"/>
          <w:szCs w:val="24"/>
        </w:rPr>
        <w:t xml:space="preserve">Review of </w:t>
      </w:r>
    </w:p>
    <w:p w14:paraId="0000005B" w14:textId="51B37936" w:rsidR="001E39BD" w:rsidRPr="00392A0A" w:rsidRDefault="00000000" w:rsidP="00392A0A">
      <w:pPr>
        <w:spacing w:line="480" w:lineRule="auto"/>
        <w:ind w:firstLine="720"/>
        <w:rPr>
          <w:rFonts w:ascii="Times New Roman" w:eastAsia="Times New Roman" w:hAnsi="Times New Roman" w:cs="Times New Roman"/>
          <w:i/>
          <w:iCs/>
          <w:sz w:val="24"/>
          <w:szCs w:val="24"/>
        </w:rPr>
      </w:pPr>
      <w:r>
        <w:rPr>
          <w:rFonts w:ascii="Times New Roman" w:eastAsia="Times New Roman" w:hAnsi="Times New Roman" w:cs="Times New Roman"/>
          <w:i/>
          <w:iCs/>
          <w:sz w:val="24"/>
          <w:szCs w:val="24"/>
        </w:rPr>
        <w:lastRenderedPageBreak/>
        <w:t>Philosophy and Psychology, 1</w:t>
      </w:r>
      <w:r>
        <w:rPr>
          <w:rFonts w:ascii="Times New Roman" w:eastAsia="Times New Roman" w:hAnsi="Times New Roman" w:cs="Times New Roman"/>
          <w:sz w:val="24"/>
          <w:szCs w:val="24"/>
        </w:rPr>
        <w:t xml:space="preserve">(4), 531–549. </w:t>
      </w:r>
      <w:hyperlink r:id="rId15">
        <w:r w:rsidR="001E39BD">
          <w:rPr>
            <w:rFonts w:ascii="Times New Roman" w:eastAsia="Times New Roman" w:hAnsi="Times New Roman" w:cs="Times New Roman"/>
            <w:sz w:val="24"/>
            <w:szCs w:val="24"/>
            <w:u w:val="single"/>
          </w:rPr>
          <w:t>https://doi.org/10.1007/s13164-010-0022-3</w:t>
        </w:r>
      </w:hyperlink>
      <w:r>
        <w:rPr>
          <w:rFonts w:ascii="Times New Roman" w:eastAsia="Times New Roman" w:hAnsi="Times New Roman" w:cs="Times New Roman"/>
          <w:sz w:val="24"/>
          <w:szCs w:val="24"/>
        </w:rPr>
        <w:t xml:space="preserve"> </w:t>
      </w:r>
    </w:p>
    <w:p w14:paraId="0000005C" w14:textId="77777777" w:rsidR="001E39BD" w:rsidRDefault="00000000">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Corriveau, K. H., &amp; Harris, P. L. (2010). Preschoolers (sometimes) defer to the majority in</w:t>
      </w:r>
    </w:p>
    <w:p w14:paraId="0000005D" w14:textId="77777777" w:rsidR="001E39BD" w:rsidRDefault="00000000">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making simple perceptual judgments. </w:t>
      </w:r>
      <w:r>
        <w:rPr>
          <w:rFonts w:ascii="Times New Roman" w:eastAsia="Times New Roman" w:hAnsi="Times New Roman" w:cs="Times New Roman"/>
          <w:i/>
          <w:iCs/>
          <w:sz w:val="24"/>
          <w:szCs w:val="24"/>
        </w:rPr>
        <w:t>Developmental Psychology, 46</w:t>
      </w:r>
      <w:r>
        <w:rPr>
          <w:rFonts w:ascii="Times New Roman" w:eastAsia="Times New Roman" w:hAnsi="Times New Roman" w:cs="Times New Roman"/>
          <w:sz w:val="24"/>
          <w:szCs w:val="24"/>
        </w:rPr>
        <w:t xml:space="preserve">(2), 437–445. </w:t>
      </w:r>
    </w:p>
    <w:p w14:paraId="0000005E" w14:textId="77777777" w:rsidR="001E39BD" w:rsidRDefault="001E39BD">
      <w:pPr>
        <w:spacing w:line="480" w:lineRule="auto"/>
        <w:ind w:firstLine="720"/>
        <w:rPr>
          <w:rFonts w:ascii="Times New Roman" w:eastAsia="Times New Roman" w:hAnsi="Times New Roman" w:cs="Times New Roman"/>
          <w:sz w:val="24"/>
          <w:szCs w:val="24"/>
        </w:rPr>
      </w:pPr>
      <w:hyperlink r:id="rId16">
        <w:r>
          <w:rPr>
            <w:rFonts w:ascii="Times New Roman" w:eastAsia="Times New Roman" w:hAnsi="Times New Roman" w:cs="Times New Roman"/>
            <w:sz w:val="24"/>
            <w:szCs w:val="24"/>
            <w:u w:val="single"/>
          </w:rPr>
          <w:t>https://doi.org/10.1037/a0017553</w:t>
        </w:r>
      </w:hyperlink>
      <w:r>
        <w:rPr>
          <w:rFonts w:ascii="Times New Roman" w:eastAsia="Times New Roman" w:hAnsi="Times New Roman" w:cs="Times New Roman"/>
          <w:sz w:val="24"/>
          <w:szCs w:val="24"/>
        </w:rPr>
        <w:t xml:space="preserve"> </w:t>
      </w:r>
    </w:p>
    <w:p w14:paraId="0000005F" w14:textId="77777777" w:rsidR="001E39BD" w:rsidRDefault="00000000">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Corriveau, K. H., &amp; Kurkul, K. (2014). “Why does rain fall?”: Children prefer to learn from an </w:t>
      </w:r>
    </w:p>
    <w:p w14:paraId="00000060" w14:textId="77777777" w:rsidR="001E39BD" w:rsidRDefault="00000000">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informant who uses noncircular explanations. </w:t>
      </w:r>
      <w:r>
        <w:rPr>
          <w:rFonts w:ascii="Times New Roman" w:eastAsia="Times New Roman" w:hAnsi="Times New Roman" w:cs="Times New Roman"/>
          <w:i/>
          <w:iCs/>
          <w:sz w:val="24"/>
          <w:szCs w:val="24"/>
        </w:rPr>
        <w:t>Child Development, 85</w:t>
      </w:r>
      <w:r>
        <w:rPr>
          <w:rFonts w:ascii="Times New Roman" w:eastAsia="Times New Roman" w:hAnsi="Times New Roman" w:cs="Times New Roman"/>
          <w:sz w:val="24"/>
          <w:szCs w:val="24"/>
        </w:rPr>
        <w:t xml:space="preserve">(5), 1827–1835. </w:t>
      </w:r>
    </w:p>
    <w:p w14:paraId="00000061" w14:textId="77777777" w:rsidR="001E39BD" w:rsidRDefault="001E39BD">
      <w:pPr>
        <w:spacing w:line="480" w:lineRule="auto"/>
        <w:ind w:left="720"/>
        <w:rPr>
          <w:rFonts w:ascii="Times New Roman" w:eastAsia="Times New Roman" w:hAnsi="Times New Roman" w:cs="Times New Roman"/>
          <w:sz w:val="24"/>
          <w:szCs w:val="24"/>
        </w:rPr>
      </w:pPr>
      <w:hyperlink r:id="rId17">
        <w:r>
          <w:rPr>
            <w:rFonts w:ascii="Times New Roman" w:eastAsia="Times New Roman" w:hAnsi="Times New Roman" w:cs="Times New Roman"/>
            <w:sz w:val="24"/>
            <w:szCs w:val="24"/>
            <w:highlight w:val="white"/>
            <w:u w:val="single"/>
          </w:rPr>
          <w:t>https://doi.org/10.1111/cdev.12240</w:t>
        </w:r>
      </w:hyperlink>
      <w:hyperlink r:id="rId18">
        <w:r>
          <w:rPr>
            <w:rFonts w:ascii="Times New Roman" w:eastAsia="Times New Roman" w:hAnsi="Times New Roman" w:cs="Times New Roman"/>
            <w:sz w:val="24"/>
            <w:szCs w:val="24"/>
            <w:u w:val="single"/>
          </w:rPr>
          <w:t xml:space="preserve"> </w:t>
        </w:r>
      </w:hyperlink>
    </w:p>
    <w:p w14:paraId="00000062" w14:textId="77777777" w:rsidR="001E39BD" w:rsidRDefault="00000000">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Einav, S., &amp; Robinson, E. J. (2011). When being right is not enough: Four-year-olds distinguish </w:t>
      </w:r>
    </w:p>
    <w:p w14:paraId="00000063" w14:textId="77777777" w:rsidR="001E39BD" w:rsidRDefault="00000000">
      <w:pPr>
        <w:spacing w:line="480" w:lineRule="auto"/>
        <w:ind w:firstLine="720"/>
        <w:rPr>
          <w:rFonts w:ascii="Times New Roman" w:eastAsia="Times New Roman" w:hAnsi="Times New Roman" w:cs="Times New Roman"/>
          <w:i/>
          <w:iCs/>
          <w:sz w:val="24"/>
          <w:szCs w:val="24"/>
        </w:rPr>
      </w:pPr>
      <w:r>
        <w:rPr>
          <w:rFonts w:ascii="Times New Roman" w:eastAsia="Times New Roman" w:hAnsi="Times New Roman" w:cs="Times New Roman"/>
          <w:sz w:val="24"/>
          <w:szCs w:val="24"/>
        </w:rPr>
        <w:t xml:space="preserve">knowledgeable informants from merely accurate informants. </w:t>
      </w:r>
      <w:r>
        <w:rPr>
          <w:rFonts w:ascii="Times New Roman" w:eastAsia="Times New Roman" w:hAnsi="Times New Roman" w:cs="Times New Roman"/>
          <w:i/>
          <w:iCs/>
          <w:sz w:val="24"/>
          <w:szCs w:val="24"/>
        </w:rPr>
        <w:t xml:space="preserve">Psychological Science, </w:t>
      </w:r>
    </w:p>
    <w:p w14:paraId="00000064" w14:textId="2EEC4874" w:rsidR="001E39BD" w:rsidRDefault="00000000">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i/>
          <w:iCs/>
          <w:sz w:val="24"/>
          <w:szCs w:val="24"/>
        </w:rPr>
        <w:t>22</w:t>
      </w:r>
      <w:r>
        <w:rPr>
          <w:rFonts w:ascii="Times New Roman" w:eastAsia="Times New Roman" w:hAnsi="Times New Roman" w:cs="Times New Roman"/>
          <w:sz w:val="24"/>
          <w:szCs w:val="24"/>
        </w:rPr>
        <w:t xml:space="preserve">(10), 1250–1253. </w:t>
      </w:r>
      <w:hyperlink r:id="rId19">
        <w:r w:rsidR="001E39BD">
          <w:rPr>
            <w:rFonts w:ascii="Times New Roman" w:eastAsia="Times New Roman" w:hAnsi="Times New Roman" w:cs="Times New Roman"/>
            <w:sz w:val="24"/>
            <w:szCs w:val="24"/>
            <w:u w:val="single"/>
          </w:rPr>
          <w:t>https://doi.org/10.1177/0956797611416998</w:t>
        </w:r>
      </w:hyperlink>
      <w:r w:rsidR="00392A0A">
        <w:t xml:space="preserve"> </w:t>
      </w:r>
      <w:r w:rsidR="00392A0A">
        <w:rPr>
          <w:rFonts w:ascii="Times New Roman" w:eastAsia="Times New Roman" w:hAnsi="Times New Roman" w:cs="Times New Roman"/>
          <w:sz w:val="24"/>
          <w:szCs w:val="24"/>
        </w:rPr>
        <w:t xml:space="preserve"> </w:t>
      </w:r>
    </w:p>
    <w:p w14:paraId="00000065" w14:textId="77777777" w:rsidR="001E39BD" w:rsidRDefault="00000000">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Elashi, F. B., &amp; Mills, C. M. (2014). Do children trust based on group membership or prior </w:t>
      </w:r>
    </w:p>
    <w:p w14:paraId="00000066" w14:textId="77777777" w:rsidR="001E39BD" w:rsidRDefault="00000000">
      <w:pPr>
        <w:spacing w:line="480" w:lineRule="auto"/>
        <w:ind w:firstLine="720"/>
        <w:rPr>
          <w:rFonts w:ascii="Times New Roman" w:eastAsia="Times New Roman" w:hAnsi="Times New Roman" w:cs="Times New Roman"/>
          <w:i/>
          <w:iCs/>
          <w:sz w:val="24"/>
          <w:szCs w:val="24"/>
        </w:rPr>
      </w:pPr>
      <w:r>
        <w:rPr>
          <w:rFonts w:ascii="Times New Roman" w:eastAsia="Times New Roman" w:hAnsi="Times New Roman" w:cs="Times New Roman"/>
          <w:sz w:val="24"/>
          <w:szCs w:val="24"/>
        </w:rPr>
        <w:t xml:space="preserve">accuracy? The role of novel group membership in children’s trust decisions. </w:t>
      </w:r>
      <w:r>
        <w:rPr>
          <w:rFonts w:ascii="Times New Roman" w:eastAsia="Times New Roman" w:hAnsi="Times New Roman" w:cs="Times New Roman"/>
          <w:i/>
          <w:iCs/>
          <w:sz w:val="24"/>
          <w:szCs w:val="24"/>
        </w:rPr>
        <w:t xml:space="preserve">Journal of </w:t>
      </w:r>
    </w:p>
    <w:p w14:paraId="00000067" w14:textId="77777777" w:rsidR="001E39BD" w:rsidRDefault="00000000">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i/>
          <w:iCs/>
          <w:sz w:val="24"/>
          <w:szCs w:val="24"/>
        </w:rPr>
        <w:t>Experimental Child Psychology, 128</w:t>
      </w:r>
      <w:r>
        <w:rPr>
          <w:rFonts w:ascii="Times New Roman" w:eastAsia="Times New Roman" w:hAnsi="Times New Roman" w:cs="Times New Roman"/>
          <w:sz w:val="24"/>
          <w:szCs w:val="24"/>
        </w:rPr>
        <w:t xml:space="preserve">, 88–104. </w:t>
      </w:r>
      <w:hyperlink r:id="rId20">
        <w:r w:rsidR="001E39BD">
          <w:rPr>
            <w:rFonts w:ascii="Times New Roman" w:eastAsia="Times New Roman" w:hAnsi="Times New Roman" w:cs="Times New Roman"/>
            <w:sz w:val="24"/>
            <w:szCs w:val="24"/>
            <w:u w:val="single"/>
          </w:rPr>
          <w:t>https://doi.org/10.1016/j.jecp.2014.07.003</w:t>
        </w:r>
      </w:hyperlink>
      <w:r>
        <w:rPr>
          <w:rFonts w:ascii="Times New Roman" w:eastAsia="Times New Roman" w:hAnsi="Times New Roman" w:cs="Times New Roman"/>
          <w:sz w:val="24"/>
          <w:szCs w:val="24"/>
        </w:rPr>
        <w:t xml:space="preserve"> </w:t>
      </w:r>
    </w:p>
    <w:p w14:paraId="755D2CDB" w14:textId="77777777" w:rsidR="00392A0A" w:rsidRDefault="00000000" w:rsidP="00392A0A">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Gweon, H., Pelton, H., Konopka, J. A., &amp; Schulz, L. E. (2014). Sins of omission: Children </w:t>
      </w:r>
    </w:p>
    <w:p w14:paraId="0AE02A5F" w14:textId="77777777" w:rsidR="00392A0A" w:rsidRDefault="00000000" w:rsidP="00392A0A">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selectively explore when teachers are under-informative. </w:t>
      </w:r>
      <w:r>
        <w:rPr>
          <w:rFonts w:ascii="Times New Roman" w:eastAsia="Times New Roman" w:hAnsi="Times New Roman" w:cs="Times New Roman"/>
          <w:i/>
          <w:iCs/>
          <w:sz w:val="24"/>
          <w:szCs w:val="24"/>
        </w:rPr>
        <w:t>Cognition</w:t>
      </w:r>
      <w:r>
        <w:rPr>
          <w:rFonts w:ascii="Times New Roman" w:eastAsia="Times New Roman" w:hAnsi="Times New Roman" w:cs="Times New Roman"/>
          <w:sz w:val="24"/>
          <w:szCs w:val="24"/>
        </w:rPr>
        <w:t xml:space="preserve">, </w:t>
      </w:r>
      <w:r>
        <w:rPr>
          <w:rFonts w:ascii="Times New Roman" w:eastAsia="Times New Roman" w:hAnsi="Times New Roman" w:cs="Times New Roman"/>
          <w:i/>
          <w:iCs/>
          <w:sz w:val="24"/>
          <w:szCs w:val="24"/>
        </w:rPr>
        <w:t>132</w:t>
      </w:r>
      <w:r>
        <w:rPr>
          <w:rFonts w:ascii="Times New Roman" w:eastAsia="Times New Roman" w:hAnsi="Times New Roman" w:cs="Times New Roman"/>
          <w:sz w:val="24"/>
          <w:szCs w:val="24"/>
        </w:rPr>
        <w:t xml:space="preserve">(3), 335–341. </w:t>
      </w:r>
    </w:p>
    <w:p w14:paraId="00000068" w14:textId="018F5D14" w:rsidR="001E39BD" w:rsidRDefault="00392A0A" w:rsidP="00392A0A">
      <w:pPr>
        <w:spacing w:line="480" w:lineRule="auto"/>
        <w:ind w:firstLine="720"/>
        <w:rPr>
          <w:rFonts w:ascii="Times New Roman" w:eastAsia="Times New Roman" w:hAnsi="Times New Roman" w:cs="Times New Roman"/>
          <w:sz w:val="24"/>
          <w:szCs w:val="24"/>
        </w:rPr>
      </w:pPr>
      <w:hyperlink r:id="rId21" w:history="1">
        <w:r w:rsidRPr="00CA766E">
          <w:rPr>
            <w:rStyle w:val="Hyperlink"/>
            <w:rFonts w:ascii="Times New Roman" w:eastAsia="Times New Roman" w:hAnsi="Times New Roman" w:cs="Times New Roman"/>
            <w:sz w:val="24"/>
            <w:szCs w:val="24"/>
          </w:rPr>
          <w:t>https://doi.org/10.1016/j.cognition.2014.04.013</w:t>
        </w:r>
      </w:hyperlink>
      <w:r>
        <w:rPr>
          <w:rFonts w:ascii="Times New Roman" w:eastAsia="Times New Roman" w:hAnsi="Times New Roman" w:cs="Times New Roman"/>
          <w:sz w:val="24"/>
          <w:szCs w:val="24"/>
        </w:rPr>
        <w:t xml:space="preserve"> </w:t>
      </w:r>
    </w:p>
    <w:p w14:paraId="00000069" w14:textId="77777777" w:rsidR="001E39BD" w:rsidRDefault="00000000">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Harris, P. L., Koenig, M. A., Corriveau, K. H., &amp; Jaswal, V. K. (2018). Cognitive foundations of </w:t>
      </w:r>
    </w:p>
    <w:p w14:paraId="0000006A" w14:textId="77777777" w:rsidR="001E39BD" w:rsidRDefault="00000000">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learning from testimony. </w:t>
      </w:r>
      <w:r>
        <w:rPr>
          <w:rFonts w:ascii="Times New Roman" w:eastAsia="Times New Roman" w:hAnsi="Times New Roman" w:cs="Times New Roman"/>
          <w:i/>
          <w:iCs/>
          <w:sz w:val="24"/>
          <w:szCs w:val="24"/>
        </w:rPr>
        <w:t>Annual Review of Psychology, 69</w:t>
      </w:r>
      <w:r>
        <w:rPr>
          <w:rFonts w:ascii="Times New Roman" w:eastAsia="Times New Roman" w:hAnsi="Times New Roman" w:cs="Times New Roman"/>
          <w:sz w:val="24"/>
          <w:szCs w:val="24"/>
        </w:rPr>
        <w:t xml:space="preserve">(1), 251–273. </w:t>
      </w:r>
    </w:p>
    <w:p w14:paraId="0000006B" w14:textId="77777777" w:rsidR="001E39BD" w:rsidRDefault="001E39BD">
      <w:pPr>
        <w:spacing w:line="480" w:lineRule="auto"/>
        <w:ind w:firstLine="720"/>
        <w:rPr>
          <w:rFonts w:ascii="Times New Roman" w:eastAsia="Times New Roman" w:hAnsi="Times New Roman" w:cs="Times New Roman"/>
          <w:sz w:val="24"/>
          <w:szCs w:val="24"/>
        </w:rPr>
      </w:pPr>
      <w:hyperlink r:id="rId22">
        <w:r>
          <w:rPr>
            <w:rFonts w:ascii="Times New Roman" w:eastAsia="Times New Roman" w:hAnsi="Times New Roman" w:cs="Times New Roman"/>
            <w:sz w:val="24"/>
            <w:szCs w:val="24"/>
            <w:u w:val="single"/>
          </w:rPr>
          <w:t>https://doi.org/10.1146/annurev-psych-122216-011710</w:t>
        </w:r>
      </w:hyperlink>
      <w:r>
        <w:rPr>
          <w:rFonts w:ascii="Times New Roman" w:eastAsia="Times New Roman" w:hAnsi="Times New Roman" w:cs="Times New Roman"/>
          <w:sz w:val="24"/>
          <w:szCs w:val="24"/>
        </w:rPr>
        <w:t xml:space="preserve"> </w:t>
      </w:r>
    </w:p>
    <w:p w14:paraId="0000006C" w14:textId="77777777" w:rsidR="001E39BD" w:rsidRDefault="00000000">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Huh, M., Lee, K., &amp; Choi, Y. J. (2019). Children show reduced trust in confident advisors who </w:t>
      </w:r>
    </w:p>
    <w:p w14:paraId="0000006D" w14:textId="77777777" w:rsidR="001E39BD" w:rsidRDefault="00000000">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are partially informed. </w:t>
      </w:r>
      <w:r>
        <w:rPr>
          <w:rFonts w:ascii="Times New Roman" w:eastAsia="Times New Roman" w:hAnsi="Times New Roman" w:cs="Times New Roman"/>
          <w:i/>
          <w:iCs/>
          <w:sz w:val="24"/>
          <w:szCs w:val="24"/>
        </w:rPr>
        <w:t>Cognitive Development, 50</w:t>
      </w:r>
      <w:r>
        <w:rPr>
          <w:rFonts w:ascii="Times New Roman" w:eastAsia="Times New Roman" w:hAnsi="Times New Roman" w:cs="Times New Roman"/>
          <w:sz w:val="24"/>
          <w:szCs w:val="24"/>
        </w:rPr>
        <w:t xml:space="preserve">, 1–11. </w:t>
      </w:r>
    </w:p>
    <w:p w14:paraId="0000006E" w14:textId="77777777" w:rsidR="001E39BD" w:rsidRDefault="001E39BD">
      <w:pPr>
        <w:spacing w:line="480" w:lineRule="auto"/>
        <w:ind w:firstLine="720"/>
        <w:rPr>
          <w:rFonts w:ascii="Times New Roman" w:eastAsia="Times New Roman" w:hAnsi="Times New Roman" w:cs="Times New Roman"/>
          <w:sz w:val="24"/>
          <w:szCs w:val="24"/>
        </w:rPr>
      </w:pPr>
      <w:hyperlink r:id="rId23">
        <w:r>
          <w:rPr>
            <w:rFonts w:ascii="Times New Roman" w:eastAsia="Times New Roman" w:hAnsi="Times New Roman" w:cs="Times New Roman"/>
            <w:sz w:val="24"/>
            <w:szCs w:val="24"/>
            <w:u w:val="single"/>
          </w:rPr>
          <w:t>https://doi.org/10.1016/j.cogdev.2019.02.003</w:t>
        </w:r>
      </w:hyperlink>
      <w:r>
        <w:rPr>
          <w:rFonts w:ascii="Times New Roman" w:eastAsia="Times New Roman" w:hAnsi="Times New Roman" w:cs="Times New Roman"/>
          <w:sz w:val="24"/>
          <w:szCs w:val="24"/>
        </w:rPr>
        <w:t xml:space="preserve"> </w:t>
      </w:r>
    </w:p>
    <w:p w14:paraId="0000006F" w14:textId="77777777" w:rsidR="001E39BD" w:rsidRDefault="00000000">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Kinzler, K. D., Corriveau, K. H., &amp; Harris, P. L. (2011). Children’s selective trust in </w:t>
      </w:r>
    </w:p>
    <w:p w14:paraId="00000070" w14:textId="77777777" w:rsidR="001E39BD" w:rsidRDefault="00000000">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native-accented speakers. </w:t>
      </w:r>
      <w:r>
        <w:rPr>
          <w:rFonts w:ascii="Times New Roman" w:eastAsia="Times New Roman" w:hAnsi="Times New Roman" w:cs="Times New Roman"/>
          <w:i/>
          <w:iCs/>
          <w:sz w:val="24"/>
          <w:szCs w:val="24"/>
        </w:rPr>
        <w:t>Developmental Science, 14</w:t>
      </w:r>
      <w:r>
        <w:rPr>
          <w:rFonts w:ascii="Times New Roman" w:eastAsia="Times New Roman" w:hAnsi="Times New Roman" w:cs="Times New Roman"/>
          <w:sz w:val="24"/>
          <w:szCs w:val="24"/>
        </w:rPr>
        <w:t xml:space="preserve">(1), 106–111. </w:t>
      </w:r>
    </w:p>
    <w:p w14:paraId="00000071" w14:textId="77777777" w:rsidR="001E39BD" w:rsidRDefault="001E39BD">
      <w:pPr>
        <w:spacing w:line="480" w:lineRule="auto"/>
        <w:ind w:firstLine="720"/>
        <w:rPr>
          <w:rFonts w:ascii="Times New Roman" w:eastAsia="Times New Roman" w:hAnsi="Times New Roman" w:cs="Times New Roman"/>
          <w:sz w:val="24"/>
          <w:szCs w:val="24"/>
        </w:rPr>
      </w:pPr>
      <w:hyperlink r:id="rId24">
        <w:r>
          <w:rPr>
            <w:rFonts w:ascii="Times New Roman" w:eastAsia="Times New Roman" w:hAnsi="Times New Roman" w:cs="Times New Roman"/>
            <w:sz w:val="24"/>
            <w:szCs w:val="24"/>
            <w:u w:val="single"/>
          </w:rPr>
          <w:t>https://doi.org/10.1111/j.1467-7687.2010.00965.x</w:t>
        </w:r>
      </w:hyperlink>
      <w:r>
        <w:rPr>
          <w:rFonts w:ascii="Times New Roman" w:eastAsia="Times New Roman" w:hAnsi="Times New Roman" w:cs="Times New Roman"/>
          <w:sz w:val="24"/>
          <w:szCs w:val="24"/>
        </w:rPr>
        <w:t xml:space="preserve"> </w:t>
      </w:r>
    </w:p>
    <w:p w14:paraId="62A86834" w14:textId="77777777" w:rsidR="00392A0A" w:rsidRDefault="00000000" w:rsidP="00392A0A">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Koenig, M. A., Clément, F., &amp; Harris, P. L. (2004). Trust in testimony: Children’s use of true </w:t>
      </w:r>
    </w:p>
    <w:p w14:paraId="675DB872" w14:textId="77777777" w:rsidR="00392A0A" w:rsidRDefault="00000000" w:rsidP="00392A0A">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and false statements. </w:t>
      </w:r>
      <w:r>
        <w:rPr>
          <w:rFonts w:ascii="Times New Roman" w:eastAsia="Times New Roman" w:hAnsi="Times New Roman" w:cs="Times New Roman"/>
          <w:i/>
          <w:iCs/>
          <w:sz w:val="24"/>
          <w:szCs w:val="24"/>
        </w:rPr>
        <w:t>Psychological Science, 15</w:t>
      </w:r>
      <w:r>
        <w:rPr>
          <w:rFonts w:ascii="Times New Roman" w:eastAsia="Times New Roman" w:hAnsi="Times New Roman" w:cs="Times New Roman"/>
          <w:sz w:val="24"/>
          <w:szCs w:val="24"/>
        </w:rPr>
        <w:t xml:space="preserve">(10), 694–698. </w:t>
      </w:r>
    </w:p>
    <w:p w14:paraId="00000074" w14:textId="71B27C76" w:rsidR="001E39BD" w:rsidRDefault="001E39BD" w:rsidP="00392A0A">
      <w:pPr>
        <w:spacing w:line="480" w:lineRule="auto"/>
        <w:ind w:firstLine="720"/>
        <w:rPr>
          <w:rFonts w:ascii="Times New Roman" w:eastAsia="Times New Roman" w:hAnsi="Times New Roman" w:cs="Times New Roman"/>
          <w:sz w:val="24"/>
          <w:szCs w:val="24"/>
        </w:rPr>
      </w:pPr>
      <w:hyperlink r:id="rId25">
        <w:r>
          <w:rPr>
            <w:rFonts w:ascii="Times New Roman" w:eastAsia="Times New Roman" w:hAnsi="Times New Roman" w:cs="Times New Roman"/>
            <w:sz w:val="24"/>
            <w:szCs w:val="24"/>
            <w:u w:val="single"/>
          </w:rPr>
          <w:t>https://doi.org/10.1111/j.0956-7976.2004.00742.x</w:t>
        </w:r>
      </w:hyperlink>
      <w:r>
        <w:rPr>
          <w:rFonts w:ascii="Times New Roman" w:eastAsia="Times New Roman" w:hAnsi="Times New Roman" w:cs="Times New Roman"/>
          <w:sz w:val="24"/>
          <w:szCs w:val="24"/>
        </w:rPr>
        <w:t xml:space="preserve"> </w:t>
      </w:r>
    </w:p>
    <w:p w14:paraId="36524B38" w14:textId="77777777" w:rsidR="00392A0A" w:rsidRDefault="00000000" w:rsidP="00392A0A">
      <w:pPr>
        <w:spacing w:line="480" w:lineRule="auto"/>
        <w:rPr>
          <w:rFonts w:ascii="Times New Roman" w:eastAsia="Times New Roman" w:hAnsi="Times New Roman" w:cs="Times New Roman"/>
          <w:i/>
          <w:iCs/>
          <w:sz w:val="24"/>
          <w:szCs w:val="24"/>
        </w:rPr>
      </w:pPr>
      <w:r>
        <w:rPr>
          <w:rFonts w:ascii="Times New Roman" w:eastAsia="Times New Roman" w:hAnsi="Times New Roman" w:cs="Times New Roman"/>
          <w:sz w:val="24"/>
          <w:szCs w:val="24"/>
        </w:rPr>
        <w:t xml:space="preserve">Xu, F. (2019). Towards a rational constructivist theory of cognitive development. </w:t>
      </w:r>
      <w:r>
        <w:rPr>
          <w:rFonts w:ascii="Times New Roman" w:eastAsia="Times New Roman" w:hAnsi="Times New Roman" w:cs="Times New Roman"/>
          <w:i/>
          <w:iCs/>
          <w:sz w:val="24"/>
          <w:szCs w:val="24"/>
        </w:rPr>
        <w:t xml:space="preserve">Psychological </w:t>
      </w:r>
    </w:p>
    <w:p w14:paraId="00000075" w14:textId="1070113F" w:rsidR="001E39BD" w:rsidRDefault="00000000" w:rsidP="00392A0A">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i/>
          <w:iCs/>
          <w:sz w:val="24"/>
          <w:szCs w:val="24"/>
        </w:rPr>
        <w:t>Review</w:t>
      </w:r>
      <w:r>
        <w:rPr>
          <w:rFonts w:ascii="Times New Roman" w:eastAsia="Times New Roman" w:hAnsi="Times New Roman" w:cs="Times New Roman"/>
          <w:sz w:val="24"/>
          <w:szCs w:val="24"/>
        </w:rPr>
        <w:t xml:space="preserve">, </w:t>
      </w:r>
      <w:r>
        <w:rPr>
          <w:rFonts w:ascii="Times New Roman" w:eastAsia="Times New Roman" w:hAnsi="Times New Roman" w:cs="Times New Roman"/>
          <w:i/>
          <w:iCs/>
          <w:sz w:val="24"/>
          <w:szCs w:val="24"/>
        </w:rPr>
        <w:t>126</w:t>
      </w:r>
      <w:r>
        <w:rPr>
          <w:rFonts w:ascii="Times New Roman" w:eastAsia="Times New Roman" w:hAnsi="Times New Roman" w:cs="Times New Roman"/>
          <w:sz w:val="24"/>
          <w:szCs w:val="24"/>
        </w:rPr>
        <w:t xml:space="preserve">(6), 841–864. </w:t>
      </w:r>
      <w:hyperlink r:id="rId26">
        <w:r w:rsidR="001E39BD">
          <w:rPr>
            <w:rFonts w:ascii="Times New Roman" w:eastAsia="Times New Roman" w:hAnsi="Times New Roman" w:cs="Times New Roman"/>
            <w:sz w:val="24"/>
            <w:szCs w:val="24"/>
            <w:u w:val="single"/>
          </w:rPr>
          <w:t>https://doi.org/10.1037/rev0000153</w:t>
        </w:r>
      </w:hyperlink>
      <w:r>
        <w:rPr>
          <w:rFonts w:ascii="Times New Roman" w:eastAsia="Times New Roman" w:hAnsi="Times New Roman" w:cs="Times New Roman"/>
          <w:sz w:val="24"/>
          <w:szCs w:val="24"/>
        </w:rPr>
        <w:t xml:space="preserve"> </w:t>
      </w:r>
    </w:p>
    <w:p w14:paraId="00000076" w14:textId="77777777" w:rsidR="001E39BD" w:rsidRDefault="001E39BD">
      <w:pPr>
        <w:spacing w:line="480" w:lineRule="auto"/>
        <w:rPr>
          <w:rFonts w:ascii="Times New Roman" w:eastAsia="Times New Roman" w:hAnsi="Times New Roman" w:cs="Times New Roman"/>
          <w:sz w:val="24"/>
          <w:szCs w:val="24"/>
        </w:rPr>
      </w:pPr>
    </w:p>
    <w:p w14:paraId="00000077" w14:textId="77777777" w:rsidR="001E39BD" w:rsidRDefault="001E39BD">
      <w:pPr>
        <w:spacing w:line="480" w:lineRule="auto"/>
        <w:rPr>
          <w:rFonts w:ascii="Times New Roman" w:eastAsia="Times New Roman" w:hAnsi="Times New Roman" w:cs="Times New Roman"/>
          <w:sz w:val="24"/>
          <w:szCs w:val="24"/>
        </w:rPr>
      </w:pPr>
    </w:p>
    <w:p w14:paraId="00000078" w14:textId="77777777" w:rsidR="001E39BD" w:rsidRDefault="001E39BD">
      <w:pPr>
        <w:spacing w:line="480" w:lineRule="auto"/>
        <w:rPr>
          <w:rFonts w:ascii="Times New Roman" w:eastAsia="Times New Roman" w:hAnsi="Times New Roman" w:cs="Times New Roman"/>
          <w:sz w:val="24"/>
          <w:szCs w:val="24"/>
        </w:rPr>
      </w:pPr>
    </w:p>
    <w:p w14:paraId="00000079" w14:textId="77777777" w:rsidR="001E39BD" w:rsidRDefault="001E39BD">
      <w:pPr>
        <w:spacing w:line="480" w:lineRule="auto"/>
        <w:rPr>
          <w:rFonts w:ascii="Times New Roman" w:eastAsia="Times New Roman" w:hAnsi="Times New Roman" w:cs="Times New Roman"/>
          <w:sz w:val="24"/>
          <w:szCs w:val="24"/>
        </w:rPr>
      </w:pPr>
    </w:p>
    <w:p w14:paraId="0000007A" w14:textId="77777777" w:rsidR="001E39BD" w:rsidRDefault="001E39BD">
      <w:pPr>
        <w:spacing w:line="480" w:lineRule="auto"/>
        <w:rPr>
          <w:rFonts w:ascii="Times New Roman" w:eastAsia="Times New Roman" w:hAnsi="Times New Roman" w:cs="Times New Roman"/>
          <w:sz w:val="24"/>
          <w:szCs w:val="24"/>
        </w:rPr>
      </w:pPr>
    </w:p>
    <w:sectPr w:rsidR="001E39BD">
      <w:headerReference w:type="even" r:id="rId27"/>
      <w:headerReference w:type="default" r:id="rId28"/>
      <w:footerReference w:type="even" r:id="rId29"/>
      <w:footerReference w:type="default" r:id="rId30"/>
      <w:headerReference w:type="first" r:id="rId31"/>
      <w:footerReference w:type="first" r:id="rId32"/>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7B52C6" w14:textId="77777777" w:rsidR="00800E68" w:rsidRDefault="00800E68">
      <w:pPr>
        <w:spacing w:line="240" w:lineRule="auto"/>
      </w:pPr>
      <w:r>
        <w:separator/>
      </w:r>
    </w:p>
  </w:endnote>
  <w:endnote w:type="continuationSeparator" w:id="0">
    <w:p w14:paraId="7F627C28" w14:textId="77777777" w:rsidR="00800E68" w:rsidRDefault="00800E6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embedRegular r:id="rId1" w:fontKey="{5583A9A5-9485-4F47-B71C-BC564FCE5B0D}"/>
    <w:embedItalic r:id="rId2" w:fontKey="{694F88DF-A06D-9748-9D3C-EA1ACE3141CB}"/>
  </w:font>
  <w:font w:name="Times New Roman">
    <w:panose1 w:val="02020603050405020304"/>
    <w:charset w:val="00"/>
    <w:family w:val="roman"/>
    <w:pitch w:val="variable"/>
    <w:sig w:usb0="E0002EFF" w:usb1="C000785B" w:usb2="00000009" w:usb3="00000000" w:csb0="000001FF" w:csb1="00000000"/>
    <w:embedRegular r:id="rId3" w:fontKey="{711FBE5A-B790-B744-8759-370CBD23E139}"/>
    <w:embedBold r:id="rId4" w:fontKey="{C96D6088-BDB7-0242-B4AC-84E74C4322C9}"/>
    <w:embedItalic r:id="rId5" w:fontKey="{7AB4ED0E-A913-3942-8D8E-EB649D747BB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embedRegular r:id="rId6" w:fontKey="{4332B684-5CD7-BC43-A4A3-A2EC3FEFD065}"/>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embedRegular r:id="rId7" w:fontKey="{6190A555-1D4A-5446-B24C-3D18EF7C58E7}"/>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A2B4F0" w14:textId="77777777" w:rsidR="00FC1EFC" w:rsidRDefault="00FC1EF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A65A5B" w14:textId="77777777" w:rsidR="00FC1EFC" w:rsidRDefault="00FC1EF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AF3299" w14:textId="77777777" w:rsidR="00FC1EFC" w:rsidRDefault="00FC1EF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14FD43" w14:textId="77777777" w:rsidR="00800E68" w:rsidRDefault="00800E68">
      <w:pPr>
        <w:spacing w:line="240" w:lineRule="auto"/>
      </w:pPr>
      <w:r>
        <w:separator/>
      </w:r>
    </w:p>
  </w:footnote>
  <w:footnote w:type="continuationSeparator" w:id="0">
    <w:p w14:paraId="68CAEC05" w14:textId="77777777" w:rsidR="00800E68" w:rsidRDefault="00800E68">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F0E1D8" w14:textId="77777777" w:rsidR="00FC1EFC" w:rsidRDefault="00FC1EF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7B" w14:textId="14DE054D" w:rsidR="001E39BD" w:rsidRDefault="00000000" w:rsidP="00FC1EFC">
    <w:pPr>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fldChar w:fldCharType="begin"/>
    </w:r>
    <w:r>
      <w:rPr>
        <w:rFonts w:ascii="Times New Roman" w:eastAsia="Times New Roman" w:hAnsi="Times New Roman" w:cs="Times New Roman"/>
        <w:sz w:val="24"/>
        <w:szCs w:val="24"/>
      </w:rPr>
      <w:instrText>PAGE</w:instrText>
    </w:r>
    <w:r>
      <w:rPr>
        <w:rFonts w:ascii="Times New Roman" w:eastAsia="Times New Roman" w:hAnsi="Times New Roman" w:cs="Times New Roman"/>
        <w:sz w:val="24"/>
        <w:szCs w:val="24"/>
      </w:rPr>
      <w:fldChar w:fldCharType="separate"/>
    </w:r>
    <w:r w:rsidR="00392A0A">
      <w:rPr>
        <w:rFonts w:ascii="Times New Roman" w:eastAsia="Times New Roman" w:hAnsi="Times New Roman" w:cs="Times New Roman"/>
        <w:noProof/>
        <w:sz w:val="24"/>
        <w:szCs w:val="24"/>
      </w:rPr>
      <w:t>1</w:t>
    </w:r>
    <w:r>
      <w:rPr>
        <w:rFonts w:ascii="Times New Roman" w:eastAsia="Times New Roman" w:hAnsi="Times New Roman" w:cs="Times New Roman"/>
        <w:sz w:val="24"/>
        <w:szCs w:val="24"/>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6A1463" w14:textId="77777777" w:rsidR="00FC1EFC" w:rsidRDefault="00FC1EF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3"/>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E39BD"/>
    <w:rsid w:val="00056CD0"/>
    <w:rsid w:val="00154ECD"/>
    <w:rsid w:val="00183469"/>
    <w:rsid w:val="001E39BD"/>
    <w:rsid w:val="00255ED7"/>
    <w:rsid w:val="00392A0A"/>
    <w:rsid w:val="003B4D67"/>
    <w:rsid w:val="004102D7"/>
    <w:rsid w:val="004109E1"/>
    <w:rsid w:val="00560073"/>
    <w:rsid w:val="00603F3B"/>
    <w:rsid w:val="00674E3E"/>
    <w:rsid w:val="00800E68"/>
    <w:rsid w:val="00853D04"/>
    <w:rsid w:val="00933B0E"/>
    <w:rsid w:val="00B331CA"/>
    <w:rsid w:val="00C22ACF"/>
    <w:rsid w:val="00E146B5"/>
    <w:rsid w:val="00ED6CD2"/>
    <w:rsid w:val="00F5492D"/>
    <w:rsid w:val="00FC1EF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119106FB"/>
  <w15:docId w15:val="{48E145A9-84E3-5643-8455-2E97EB6727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ja-JP"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character" w:styleId="Hyperlink">
    <w:name w:val="Hyperlink"/>
    <w:basedOn w:val="DefaultParagraphFont"/>
    <w:uiPriority w:val="99"/>
    <w:unhideWhenUsed/>
    <w:rsid w:val="00392A0A"/>
    <w:rPr>
      <w:color w:val="0000FF" w:themeColor="hyperlink"/>
      <w:u w:val="single"/>
    </w:rPr>
  </w:style>
  <w:style w:type="character" w:styleId="UnresolvedMention">
    <w:name w:val="Unresolved Mention"/>
    <w:basedOn w:val="DefaultParagraphFont"/>
    <w:uiPriority w:val="99"/>
    <w:semiHidden/>
    <w:unhideWhenUsed/>
    <w:rsid w:val="00392A0A"/>
    <w:rPr>
      <w:color w:val="605E5C"/>
      <w:shd w:val="clear" w:color="auto" w:fill="E1DFDD"/>
    </w:rPr>
  </w:style>
  <w:style w:type="character" w:styleId="FollowedHyperlink">
    <w:name w:val="FollowedHyperlink"/>
    <w:basedOn w:val="DefaultParagraphFont"/>
    <w:uiPriority w:val="99"/>
    <w:semiHidden/>
    <w:unhideWhenUsed/>
    <w:rsid w:val="00392A0A"/>
    <w:rPr>
      <w:color w:val="800080" w:themeColor="followedHyperlink"/>
      <w:u w:val="single"/>
    </w:rPr>
  </w:style>
  <w:style w:type="paragraph" w:styleId="Header">
    <w:name w:val="header"/>
    <w:basedOn w:val="Normal"/>
    <w:link w:val="HeaderChar"/>
    <w:uiPriority w:val="99"/>
    <w:unhideWhenUsed/>
    <w:rsid w:val="00FC1EFC"/>
    <w:pPr>
      <w:tabs>
        <w:tab w:val="center" w:pos="4680"/>
        <w:tab w:val="right" w:pos="9360"/>
      </w:tabs>
      <w:spacing w:line="240" w:lineRule="auto"/>
    </w:pPr>
  </w:style>
  <w:style w:type="character" w:customStyle="1" w:styleId="HeaderChar">
    <w:name w:val="Header Char"/>
    <w:basedOn w:val="DefaultParagraphFont"/>
    <w:link w:val="Header"/>
    <w:uiPriority w:val="99"/>
    <w:rsid w:val="00FC1EFC"/>
  </w:style>
  <w:style w:type="paragraph" w:styleId="Footer">
    <w:name w:val="footer"/>
    <w:basedOn w:val="Normal"/>
    <w:link w:val="FooterChar"/>
    <w:uiPriority w:val="99"/>
    <w:unhideWhenUsed/>
    <w:rsid w:val="00FC1EFC"/>
    <w:pPr>
      <w:tabs>
        <w:tab w:val="center" w:pos="4680"/>
        <w:tab w:val="right" w:pos="9360"/>
      </w:tabs>
      <w:spacing w:line="240" w:lineRule="auto"/>
    </w:pPr>
  </w:style>
  <w:style w:type="character" w:customStyle="1" w:styleId="FooterChar">
    <w:name w:val="Footer Char"/>
    <w:basedOn w:val="DefaultParagraphFont"/>
    <w:link w:val="Footer"/>
    <w:uiPriority w:val="99"/>
    <w:rsid w:val="00FC1EFC"/>
  </w:style>
  <w:style w:type="paragraph" w:styleId="NormalWeb">
    <w:name w:val="Normal (Web)"/>
    <w:basedOn w:val="Normal"/>
    <w:uiPriority w:val="99"/>
    <w:unhideWhenUsed/>
    <w:rsid w:val="00056CD0"/>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hyperlink" Target="https://doi.org/10.1111/cdev.13647" TargetMode="External"/><Relationship Id="rId18" Type="http://schemas.openxmlformats.org/officeDocument/2006/relationships/hyperlink" Target="https://doi.org/10.1111/cdev.12240" TargetMode="External"/><Relationship Id="rId26" Type="http://schemas.openxmlformats.org/officeDocument/2006/relationships/hyperlink" Target="https://doi.org/10.1037/rev0000153" TargetMode="External"/><Relationship Id="rId3" Type="http://schemas.openxmlformats.org/officeDocument/2006/relationships/webSettings" Target="webSettings.xml"/><Relationship Id="rId21" Type="http://schemas.openxmlformats.org/officeDocument/2006/relationships/hyperlink" Target="https://doi.org/10.1016/j.cognition.2014.04.013" TargetMode="External"/><Relationship Id="rId34" Type="http://schemas.openxmlformats.org/officeDocument/2006/relationships/theme" Target="theme/theme1.xml"/><Relationship Id="rId7" Type="http://schemas.openxmlformats.org/officeDocument/2006/relationships/hyperlink" Target="https://doi.org/10.1016/j.jecp.2018.07.007" TargetMode="External"/><Relationship Id="rId12" Type="http://schemas.openxmlformats.org/officeDocument/2006/relationships/hyperlink" Target="https://doi.org/10.1111/j.1467-8624.2012.01850.x" TargetMode="External"/><Relationship Id="rId17" Type="http://schemas.openxmlformats.org/officeDocument/2006/relationships/hyperlink" Target="https://doi.org/10.1111/cdev.12240" TargetMode="External"/><Relationship Id="rId25" Type="http://schemas.openxmlformats.org/officeDocument/2006/relationships/hyperlink" Target="https://doi.org/10.1111/j.0956-7976.2004.00742.x" TargetMode="External"/><Relationship Id="rId33"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s://doi.org/10.1037/a0017553" TargetMode="External"/><Relationship Id="rId20" Type="http://schemas.openxmlformats.org/officeDocument/2006/relationships/hyperlink" Target="https://doi.org/10.1016/j.jecp.2014.07.003" TargetMode="External"/><Relationship Id="rId29" Type="http://schemas.openxmlformats.org/officeDocument/2006/relationships/footer" Target="footer1.xml"/><Relationship Id="rId1" Type="http://schemas.openxmlformats.org/officeDocument/2006/relationships/styles" Target="styles.xml"/><Relationship Id="rId6" Type="http://schemas.openxmlformats.org/officeDocument/2006/relationships/hyperlink" Target="https://doi.org/10.1111/cdep.12354" TargetMode="External"/><Relationship Id="rId11" Type="http://schemas.openxmlformats.org/officeDocument/2006/relationships/hyperlink" Target="https://psycnet.apa.org/doi/10.1037/a0031336" TargetMode="External"/><Relationship Id="rId24" Type="http://schemas.openxmlformats.org/officeDocument/2006/relationships/hyperlink" Target="https://doi.org/10.1111/j.1467-7687.2010.00965.x" TargetMode="External"/><Relationship Id="rId32" Type="http://schemas.openxmlformats.org/officeDocument/2006/relationships/footer" Target="footer3.xml"/><Relationship Id="rId5" Type="http://schemas.openxmlformats.org/officeDocument/2006/relationships/endnotes" Target="endnotes.xml"/><Relationship Id="rId15" Type="http://schemas.openxmlformats.org/officeDocument/2006/relationships/hyperlink" Target="https://doi.org/10.1007/s13164-010-0022-3" TargetMode="External"/><Relationship Id="rId23" Type="http://schemas.openxmlformats.org/officeDocument/2006/relationships/hyperlink" Target="https://doi.org/10.1016/j.cogdev.2019.02.003" TargetMode="External"/><Relationship Id="rId28" Type="http://schemas.openxmlformats.org/officeDocument/2006/relationships/header" Target="header2.xml"/><Relationship Id="rId10" Type="http://schemas.openxmlformats.org/officeDocument/2006/relationships/hyperlink" Target="https://psycnet.apa.org/doi/10.1037/a0031336" TargetMode="External"/><Relationship Id="rId19" Type="http://schemas.openxmlformats.org/officeDocument/2006/relationships/hyperlink" Target="https://doi.org/10.1177/0956797611416998" TargetMode="External"/><Relationship Id="rId31"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hyperlink" Target="https://doi.org/10.1371/journal.pone.0108308" TargetMode="External"/><Relationship Id="rId14" Type="http://schemas.openxmlformats.org/officeDocument/2006/relationships/hyperlink" Target="https://doi.org/10.1111/cdev.13647" TargetMode="External"/><Relationship Id="rId22" Type="http://schemas.openxmlformats.org/officeDocument/2006/relationships/hyperlink" Target="https://doi.org/10.1146/annurev-psych-122216-011710" TargetMode="External"/><Relationship Id="rId27" Type="http://schemas.openxmlformats.org/officeDocument/2006/relationships/header" Target="header1.xml"/><Relationship Id="rId30" Type="http://schemas.openxmlformats.org/officeDocument/2006/relationships/footer" Target="footer2.xml"/><Relationship Id="rId8" Type="http://schemas.openxmlformats.org/officeDocument/2006/relationships/hyperlink" Target="https://doi.org/10.1111/j.1467-7687.2009.00932.x" TargetMode="Externa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TotalTime>
  <Pages>15</Pages>
  <Words>3990</Words>
  <Characters>22746</Characters>
  <Application>Microsoft Office Word</Application>
  <DocSecurity>0</DocSecurity>
  <Lines>189</Lines>
  <Paragraphs>53</Paragraphs>
  <ScaleCrop>false</ScaleCrop>
  <Company/>
  <LinksUpToDate>false</LinksUpToDate>
  <CharactersWithSpaces>26683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Emma Mizukami Reddy</cp:lastModifiedBy>
  <cp:revision>15</cp:revision>
  <dcterms:created xsi:type="dcterms:W3CDTF">2025-11-15T03:01:00Z</dcterms:created>
  <dcterms:modified xsi:type="dcterms:W3CDTF">2025-11-15T20:16:00Z</dcterms:modified>
</cp:coreProperties>
</file>